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37" w:rsidRDefault="009851CD">
      <w:pPr>
        <w:pStyle w:val="Heading1"/>
      </w:pPr>
      <w:r>
        <w:rPr>
          <w:color w:val="0F4F75"/>
        </w:rPr>
        <w:t>Pupil prem</w:t>
      </w:r>
      <w:r w:rsidR="0097770A">
        <w:rPr>
          <w:color w:val="0F4F75"/>
        </w:rPr>
        <w:t>ium strategy statement 2023-2024</w:t>
      </w:r>
      <w:r>
        <w:rPr>
          <w:color w:val="0F4F75"/>
          <w:spacing w:val="81"/>
        </w:rPr>
        <w:t xml:space="preserve"> </w:t>
      </w:r>
      <w:r>
        <w:rPr>
          <w:color w:val="0F4F75"/>
        </w:rPr>
        <w:t>update</w:t>
      </w:r>
    </w:p>
    <w:p w:rsidR="00E56E37" w:rsidRDefault="00E56E37">
      <w:pPr>
        <w:pStyle w:val="BodyText"/>
        <w:rPr>
          <w:rFonts w:ascii="Arial"/>
          <w:b/>
          <w:sz w:val="40"/>
        </w:rPr>
      </w:pPr>
    </w:p>
    <w:p w:rsidR="00E56E37" w:rsidRDefault="009851CD">
      <w:pPr>
        <w:pStyle w:val="BodyText"/>
        <w:spacing w:line="244" w:lineRule="auto"/>
        <w:ind w:left="103"/>
      </w:pPr>
      <w:r>
        <w:t>This statement details our school’s use of pupil premium funding to help improve the attainment of our disadvantaged pupils.</w:t>
      </w:r>
    </w:p>
    <w:p w:rsidR="00E56E37" w:rsidRDefault="00E56E37">
      <w:pPr>
        <w:pStyle w:val="BodyText"/>
        <w:spacing w:before="9"/>
        <w:rPr>
          <w:sz w:val="19"/>
        </w:rPr>
      </w:pPr>
    </w:p>
    <w:p w:rsidR="00E56E37" w:rsidRDefault="009851CD">
      <w:pPr>
        <w:pStyle w:val="BodyText"/>
        <w:spacing w:before="1" w:line="244" w:lineRule="auto"/>
        <w:ind w:left="103" w:right="318"/>
      </w:pPr>
      <w:r>
        <w:t>It outlines our pupil premium strategy, how we intend to spend the funding in this academic year and the effect that last year’s spending of pupil premium had within our school.</w:t>
      </w:r>
    </w:p>
    <w:p w:rsidR="00E56E37" w:rsidRDefault="00E56E37">
      <w:pPr>
        <w:pStyle w:val="BodyText"/>
        <w:rPr>
          <w:sz w:val="24"/>
        </w:rPr>
      </w:pPr>
    </w:p>
    <w:p w:rsidR="00E56E37" w:rsidRDefault="009851CD">
      <w:pPr>
        <w:pStyle w:val="Heading2"/>
        <w:spacing w:before="173"/>
      </w:pPr>
      <w:r>
        <w:rPr>
          <w:color w:val="0F4F75"/>
        </w:rPr>
        <w:t>School overview</w:t>
      </w:r>
    </w:p>
    <w:p w:rsidR="00E56E37" w:rsidRDefault="00E56E37">
      <w:pPr>
        <w:pStyle w:val="BodyText"/>
        <w:spacing w:before="8"/>
        <w:rPr>
          <w:rFonts w:ascii="Arial"/>
          <w:b/>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8"/>
        <w:gridCol w:w="2790"/>
      </w:tblGrid>
      <w:tr w:rsidR="00E56E37">
        <w:trPr>
          <w:trHeight w:val="371"/>
        </w:trPr>
        <w:tc>
          <w:tcPr>
            <w:tcW w:w="6128" w:type="dxa"/>
            <w:shd w:val="clear" w:color="auto" w:fill="D8E2E8"/>
          </w:tcPr>
          <w:p w:rsidR="00E56E37" w:rsidRDefault="009851CD">
            <w:pPr>
              <w:pStyle w:val="TableParagraph"/>
              <w:spacing w:before="61"/>
              <w:rPr>
                <w:rFonts w:ascii="Arial"/>
                <w:b/>
              </w:rPr>
            </w:pPr>
            <w:r>
              <w:rPr>
                <w:rFonts w:ascii="Arial"/>
                <w:b/>
                <w:color w:val="0C0C0C"/>
              </w:rPr>
              <w:t>Detail</w:t>
            </w:r>
          </w:p>
        </w:tc>
        <w:tc>
          <w:tcPr>
            <w:tcW w:w="2790" w:type="dxa"/>
            <w:shd w:val="clear" w:color="auto" w:fill="D8E2E8"/>
          </w:tcPr>
          <w:p w:rsidR="00E56E37" w:rsidRDefault="009851CD">
            <w:pPr>
              <w:pStyle w:val="TableParagraph"/>
              <w:spacing w:before="61"/>
              <w:ind w:left="152"/>
              <w:rPr>
                <w:rFonts w:ascii="Arial"/>
                <w:b/>
              </w:rPr>
            </w:pPr>
            <w:r>
              <w:rPr>
                <w:rFonts w:ascii="Arial"/>
                <w:b/>
                <w:color w:val="0C0C0C"/>
              </w:rPr>
              <w:t>Data</w:t>
            </w:r>
          </w:p>
        </w:tc>
      </w:tr>
      <w:tr w:rsidR="00E56E37">
        <w:trPr>
          <w:trHeight w:val="632"/>
        </w:trPr>
        <w:tc>
          <w:tcPr>
            <w:tcW w:w="6128" w:type="dxa"/>
          </w:tcPr>
          <w:p w:rsidR="00E56E37" w:rsidRDefault="009851CD">
            <w:pPr>
              <w:pStyle w:val="TableParagraph"/>
              <w:spacing w:before="63"/>
            </w:pPr>
            <w:r>
              <w:rPr>
                <w:color w:val="0C0C0C"/>
              </w:rPr>
              <w:t>School name</w:t>
            </w:r>
          </w:p>
        </w:tc>
        <w:tc>
          <w:tcPr>
            <w:tcW w:w="2790" w:type="dxa"/>
          </w:tcPr>
          <w:p w:rsidR="00E56E37" w:rsidRDefault="009851CD">
            <w:pPr>
              <w:pStyle w:val="TableParagraph"/>
              <w:spacing w:before="63" w:line="244" w:lineRule="auto"/>
              <w:ind w:left="152" w:hanging="1"/>
            </w:pPr>
            <w:r>
              <w:rPr>
                <w:color w:val="0C0C0C"/>
              </w:rPr>
              <w:t>The Sir John Colfox Academy</w:t>
            </w:r>
          </w:p>
        </w:tc>
      </w:tr>
      <w:tr w:rsidR="00E56E37">
        <w:trPr>
          <w:trHeight w:val="371"/>
        </w:trPr>
        <w:tc>
          <w:tcPr>
            <w:tcW w:w="6128" w:type="dxa"/>
          </w:tcPr>
          <w:p w:rsidR="00E56E37" w:rsidRDefault="009851CD">
            <w:pPr>
              <w:pStyle w:val="TableParagraph"/>
            </w:pPr>
            <w:r>
              <w:rPr>
                <w:color w:val="0C0C0C"/>
              </w:rPr>
              <w:t>Number of pupils in school</w:t>
            </w:r>
          </w:p>
        </w:tc>
        <w:tc>
          <w:tcPr>
            <w:tcW w:w="2790" w:type="dxa"/>
          </w:tcPr>
          <w:p w:rsidR="00E56E37" w:rsidRDefault="0097770A">
            <w:pPr>
              <w:pStyle w:val="TableParagraph"/>
              <w:ind w:left="152"/>
              <w:rPr>
                <w:rFonts w:ascii="Arial"/>
                <w:b/>
              </w:rPr>
            </w:pPr>
            <w:r>
              <w:rPr>
                <w:rFonts w:ascii="Arial"/>
                <w:b/>
                <w:color w:val="0C0C0C"/>
              </w:rPr>
              <w:t>878</w:t>
            </w:r>
          </w:p>
        </w:tc>
      </w:tr>
      <w:tr w:rsidR="00E56E37">
        <w:trPr>
          <w:trHeight w:val="371"/>
        </w:trPr>
        <w:tc>
          <w:tcPr>
            <w:tcW w:w="6128" w:type="dxa"/>
          </w:tcPr>
          <w:p w:rsidR="00E56E37" w:rsidRDefault="009851CD">
            <w:pPr>
              <w:pStyle w:val="TableParagraph"/>
            </w:pPr>
            <w:r>
              <w:rPr>
                <w:color w:val="0C0C0C"/>
              </w:rPr>
              <w:t>Proportion (%) of pupil premium eligible pupils</w:t>
            </w:r>
          </w:p>
        </w:tc>
        <w:tc>
          <w:tcPr>
            <w:tcW w:w="2790" w:type="dxa"/>
          </w:tcPr>
          <w:p w:rsidR="00E56E37" w:rsidRDefault="0097770A">
            <w:pPr>
              <w:pStyle w:val="TableParagraph"/>
              <w:ind w:left="152"/>
              <w:rPr>
                <w:rFonts w:ascii="Arial"/>
                <w:b/>
              </w:rPr>
            </w:pPr>
            <w:r>
              <w:rPr>
                <w:rFonts w:ascii="Arial"/>
                <w:b/>
                <w:color w:val="0C0C0C"/>
              </w:rPr>
              <w:t>19%</w:t>
            </w:r>
          </w:p>
        </w:tc>
      </w:tr>
      <w:tr w:rsidR="00E56E37">
        <w:trPr>
          <w:trHeight w:val="630"/>
        </w:trPr>
        <w:tc>
          <w:tcPr>
            <w:tcW w:w="6128" w:type="dxa"/>
          </w:tcPr>
          <w:p w:rsidR="00E56E37" w:rsidRDefault="009851CD">
            <w:pPr>
              <w:pStyle w:val="TableParagraph"/>
              <w:spacing w:line="244" w:lineRule="auto"/>
              <w:ind w:right="150"/>
              <w:rPr>
                <w:rFonts w:ascii="Arial"/>
                <w:b/>
              </w:rPr>
            </w:pPr>
            <w:r>
              <w:rPr>
                <w:color w:val="0C0C0C"/>
              </w:rPr>
              <w:t xml:space="preserve">Academic year/years that our current pupil premium strategy plan covers </w:t>
            </w:r>
            <w:r>
              <w:rPr>
                <w:rFonts w:ascii="Arial"/>
                <w:b/>
                <w:color w:val="0C0C0C"/>
              </w:rPr>
              <w:t>(3 year plans are recommended)</w:t>
            </w:r>
          </w:p>
        </w:tc>
        <w:tc>
          <w:tcPr>
            <w:tcW w:w="2790" w:type="dxa"/>
          </w:tcPr>
          <w:p w:rsidR="00E56E37" w:rsidRDefault="0097770A">
            <w:pPr>
              <w:pStyle w:val="TableParagraph"/>
              <w:ind w:left="152"/>
            </w:pPr>
            <w:r>
              <w:rPr>
                <w:color w:val="0C0C0C"/>
              </w:rPr>
              <w:t>2024-2027</w:t>
            </w:r>
          </w:p>
        </w:tc>
      </w:tr>
      <w:tr w:rsidR="00E56E37">
        <w:trPr>
          <w:trHeight w:val="371"/>
        </w:trPr>
        <w:tc>
          <w:tcPr>
            <w:tcW w:w="6128" w:type="dxa"/>
          </w:tcPr>
          <w:p w:rsidR="00E56E37" w:rsidRDefault="009851CD">
            <w:pPr>
              <w:pStyle w:val="TableParagraph"/>
            </w:pPr>
            <w:r>
              <w:rPr>
                <w:color w:val="0C0C0C"/>
              </w:rPr>
              <w:t>Date this statement was published</w:t>
            </w:r>
          </w:p>
        </w:tc>
        <w:tc>
          <w:tcPr>
            <w:tcW w:w="2790" w:type="dxa"/>
          </w:tcPr>
          <w:p w:rsidR="00E56E37" w:rsidRDefault="0097770A">
            <w:pPr>
              <w:pStyle w:val="TableParagraph"/>
              <w:ind w:left="152"/>
              <w:rPr>
                <w:rFonts w:ascii="Arial"/>
                <w:b/>
              </w:rPr>
            </w:pPr>
            <w:r>
              <w:rPr>
                <w:rFonts w:ascii="Arial"/>
                <w:b/>
                <w:color w:val="0C0C0C"/>
              </w:rPr>
              <w:t>5 September 2024</w:t>
            </w:r>
          </w:p>
        </w:tc>
      </w:tr>
      <w:tr w:rsidR="00E56E37">
        <w:trPr>
          <w:trHeight w:val="371"/>
        </w:trPr>
        <w:tc>
          <w:tcPr>
            <w:tcW w:w="6128" w:type="dxa"/>
          </w:tcPr>
          <w:p w:rsidR="00E56E37" w:rsidRDefault="009851CD">
            <w:pPr>
              <w:pStyle w:val="TableParagraph"/>
            </w:pPr>
            <w:r>
              <w:rPr>
                <w:color w:val="0C0C0C"/>
              </w:rPr>
              <w:t>Date on which it will be reviewed</w:t>
            </w:r>
          </w:p>
        </w:tc>
        <w:tc>
          <w:tcPr>
            <w:tcW w:w="2790" w:type="dxa"/>
          </w:tcPr>
          <w:p w:rsidR="00E56E37" w:rsidRDefault="009851CD" w:rsidP="00E622EC">
            <w:pPr>
              <w:pStyle w:val="TableParagraph"/>
              <w:ind w:left="152"/>
              <w:rPr>
                <w:rFonts w:ascii="Arial"/>
                <w:b/>
              </w:rPr>
            </w:pPr>
            <w:r>
              <w:rPr>
                <w:rFonts w:ascii="Arial"/>
                <w:b/>
                <w:color w:val="0C0C0C"/>
              </w:rPr>
              <w:t>5 September 202</w:t>
            </w:r>
            <w:r w:rsidR="0097770A">
              <w:rPr>
                <w:rFonts w:ascii="Arial"/>
                <w:b/>
                <w:color w:val="0C0C0C"/>
              </w:rPr>
              <w:t>7</w:t>
            </w:r>
          </w:p>
        </w:tc>
      </w:tr>
      <w:tr w:rsidR="00E56E37">
        <w:trPr>
          <w:trHeight w:val="370"/>
        </w:trPr>
        <w:tc>
          <w:tcPr>
            <w:tcW w:w="6128" w:type="dxa"/>
          </w:tcPr>
          <w:p w:rsidR="00E56E37" w:rsidRDefault="009851CD">
            <w:pPr>
              <w:pStyle w:val="TableParagraph"/>
            </w:pPr>
            <w:r>
              <w:rPr>
                <w:color w:val="0C0C0C"/>
              </w:rPr>
              <w:t>Statement authorised by</w:t>
            </w:r>
          </w:p>
        </w:tc>
        <w:tc>
          <w:tcPr>
            <w:tcW w:w="2790" w:type="dxa"/>
          </w:tcPr>
          <w:p w:rsidR="00E56E37" w:rsidRDefault="009851CD">
            <w:pPr>
              <w:pStyle w:val="TableParagraph"/>
              <w:ind w:left="150"/>
            </w:pPr>
            <w:r>
              <w:rPr>
                <w:color w:val="0C0C0C"/>
              </w:rPr>
              <w:t>Adam Shelley</w:t>
            </w:r>
          </w:p>
        </w:tc>
      </w:tr>
      <w:tr w:rsidR="00E56E37">
        <w:trPr>
          <w:trHeight w:val="372"/>
        </w:trPr>
        <w:tc>
          <w:tcPr>
            <w:tcW w:w="6128" w:type="dxa"/>
          </w:tcPr>
          <w:p w:rsidR="00E56E37" w:rsidRDefault="009851CD">
            <w:pPr>
              <w:pStyle w:val="TableParagraph"/>
              <w:spacing w:before="63"/>
            </w:pPr>
            <w:r>
              <w:rPr>
                <w:color w:val="0C0C0C"/>
              </w:rPr>
              <w:t>Pupil premium lead</w:t>
            </w:r>
          </w:p>
        </w:tc>
        <w:tc>
          <w:tcPr>
            <w:tcW w:w="2790" w:type="dxa"/>
          </w:tcPr>
          <w:p w:rsidR="00E56E37" w:rsidRDefault="009851CD">
            <w:pPr>
              <w:pStyle w:val="TableParagraph"/>
              <w:spacing w:before="63"/>
              <w:ind w:left="152"/>
              <w:rPr>
                <w:rFonts w:ascii="Arial"/>
                <w:b/>
              </w:rPr>
            </w:pPr>
            <w:r>
              <w:rPr>
                <w:rFonts w:ascii="Arial"/>
                <w:b/>
                <w:color w:val="0C0C0C"/>
              </w:rPr>
              <w:t>Louisa Hocking</w:t>
            </w:r>
          </w:p>
        </w:tc>
      </w:tr>
      <w:tr w:rsidR="00E56E37">
        <w:trPr>
          <w:trHeight w:val="371"/>
        </w:trPr>
        <w:tc>
          <w:tcPr>
            <w:tcW w:w="6128" w:type="dxa"/>
          </w:tcPr>
          <w:p w:rsidR="00E56E37" w:rsidRDefault="009851CD">
            <w:pPr>
              <w:pStyle w:val="TableParagraph"/>
            </w:pPr>
            <w:r>
              <w:rPr>
                <w:color w:val="0C0C0C"/>
              </w:rPr>
              <w:t>Governor / Trustee lead</w:t>
            </w:r>
          </w:p>
        </w:tc>
        <w:tc>
          <w:tcPr>
            <w:tcW w:w="2790" w:type="dxa"/>
          </w:tcPr>
          <w:p w:rsidR="00E56E37" w:rsidRDefault="009851CD">
            <w:pPr>
              <w:pStyle w:val="TableParagraph"/>
              <w:ind w:left="152"/>
              <w:rPr>
                <w:rFonts w:ascii="Arial"/>
                <w:b/>
              </w:rPr>
            </w:pPr>
            <w:r>
              <w:rPr>
                <w:rFonts w:ascii="Arial"/>
                <w:b/>
                <w:color w:val="0C0C0C"/>
              </w:rPr>
              <w:t>Hilary Cunningham</w:t>
            </w:r>
          </w:p>
        </w:tc>
      </w:tr>
    </w:tbl>
    <w:p w:rsidR="00E56E37" w:rsidRDefault="00E56E37">
      <w:pPr>
        <w:pStyle w:val="BodyText"/>
        <w:spacing w:before="4"/>
        <w:rPr>
          <w:rFonts w:ascii="Arial"/>
          <w:b/>
          <w:sz w:val="39"/>
        </w:rPr>
      </w:pPr>
    </w:p>
    <w:p w:rsidR="00E56E37" w:rsidRDefault="009851CD">
      <w:pPr>
        <w:ind w:left="103"/>
        <w:rPr>
          <w:rFonts w:ascii="Arial"/>
          <w:b/>
          <w:sz w:val="30"/>
        </w:rPr>
      </w:pPr>
      <w:r>
        <w:rPr>
          <w:rFonts w:ascii="Arial"/>
          <w:b/>
          <w:color w:val="0F4F75"/>
          <w:sz w:val="30"/>
        </w:rPr>
        <w:t>Funding overview</w:t>
      </w:r>
    </w:p>
    <w:p w:rsidR="00E56E37" w:rsidRDefault="00E56E37">
      <w:pPr>
        <w:pStyle w:val="BodyText"/>
        <w:spacing w:before="6"/>
        <w:rPr>
          <w:rFonts w:ascii="Arial"/>
          <w:b/>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6"/>
        <w:gridCol w:w="2792"/>
      </w:tblGrid>
      <w:tr w:rsidR="00E56E37">
        <w:trPr>
          <w:trHeight w:val="371"/>
        </w:trPr>
        <w:tc>
          <w:tcPr>
            <w:tcW w:w="6126" w:type="dxa"/>
            <w:shd w:val="clear" w:color="auto" w:fill="D8E2E8"/>
          </w:tcPr>
          <w:p w:rsidR="00E56E37" w:rsidRDefault="009851CD">
            <w:pPr>
              <w:pStyle w:val="TableParagraph"/>
              <w:rPr>
                <w:rFonts w:ascii="Arial"/>
                <w:b/>
              </w:rPr>
            </w:pPr>
            <w:r>
              <w:rPr>
                <w:rFonts w:ascii="Arial"/>
                <w:b/>
                <w:color w:val="0C0C0C"/>
              </w:rPr>
              <w:t>Detail</w:t>
            </w:r>
          </w:p>
        </w:tc>
        <w:tc>
          <w:tcPr>
            <w:tcW w:w="2792" w:type="dxa"/>
            <w:shd w:val="clear" w:color="auto" w:fill="D8E2E8"/>
          </w:tcPr>
          <w:p w:rsidR="00E56E37" w:rsidRDefault="009851CD">
            <w:pPr>
              <w:pStyle w:val="TableParagraph"/>
              <w:ind w:left="154"/>
              <w:rPr>
                <w:rFonts w:ascii="Arial"/>
                <w:b/>
              </w:rPr>
            </w:pPr>
            <w:r>
              <w:rPr>
                <w:rFonts w:ascii="Arial"/>
                <w:b/>
                <w:color w:val="0C0C0C"/>
              </w:rPr>
              <w:t>Amount</w:t>
            </w:r>
          </w:p>
        </w:tc>
      </w:tr>
      <w:tr w:rsidR="00E56E37">
        <w:trPr>
          <w:trHeight w:val="372"/>
        </w:trPr>
        <w:tc>
          <w:tcPr>
            <w:tcW w:w="6126" w:type="dxa"/>
          </w:tcPr>
          <w:p w:rsidR="00E56E37" w:rsidRDefault="009851CD">
            <w:pPr>
              <w:pStyle w:val="TableParagraph"/>
            </w:pPr>
            <w:r>
              <w:rPr>
                <w:color w:val="0C0C0C"/>
              </w:rPr>
              <w:t>Pupil premium funding allocation this academic year</w:t>
            </w:r>
          </w:p>
        </w:tc>
        <w:tc>
          <w:tcPr>
            <w:tcW w:w="2792" w:type="dxa"/>
          </w:tcPr>
          <w:p w:rsidR="00E56E37" w:rsidRDefault="009851CD" w:rsidP="0097770A">
            <w:pPr>
              <w:pStyle w:val="TableParagraph"/>
              <w:ind w:left="148"/>
            </w:pPr>
            <w:r>
              <w:rPr>
                <w:color w:val="0C0C0C"/>
              </w:rPr>
              <w:t>£</w:t>
            </w:r>
          </w:p>
        </w:tc>
      </w:tr>
      <w:tr w:rsidR="00E56E37">
        <w:trPr>
          <w:trHeight w:val="370"/>
        </w:trPr>
        <w:tc>
          <w:tcPr>
            <w:tcW w:w="6126" w:type="dxa"/>
          </w:tcPr>
          <w:p w:rsidR="00E56E37" w:rsidRDefault="009851CD">
            <w:pPr>
              <w:pStyle w:val="TableParagraph"/>
              <w:spacing w:before="61"/>
            </w:pPr>
            <w:r>
              <w:rPr>
                <w:color w:val="0C0C0C"/>
              </w:rPr>
              <w:t>Recovery premium funding allocation this academic year</w:t>
            </w:r>
          </w:p>
        </w:tc>
        <w:tc>
          <w:tcPr>
            <w:tcW w:w="2792" w:type="dxa"/>
          </w:tcPr>
          <w:p w:rsidR="00E56E37" w:rsidRDefault="009851CD" w:rsidP="0097770A">
            <w:pPr>
              <w:pStyle w:val="TableParagraph"/>
              <w:spacing w:before="61"/>
              <w:ind w:left="149"/>
            </w:pPr>
            <w:r>
              <w:rPr>
                <w:color w:val="0C0C0C"/>
              </w:rPr>
              <w:t>£</w:t>
            </w:r>
          </w:p>
        </w:tc>
      </w:tr>
      <w:tr w:rsidR="00E56E37">
        <w:trPr>
          <w:trHeight w:val="630"/>
        </w:trPr>
        <w:tc>
          <w:tcPr>
            <w:tcW w:w="6126" w:type="dxa"/>
          </w:tcPr>
          <w:p w:rsidR="00E56E37" w:rsidRDefault="009851CD">
            <w:pPr>
              <w:pStyle w:val="TableParagraph"/>
              <w:spacing w:line="244" w:lineRule="auto"/>
              <w:ind w:right="332"/>
            </w:pPr>
            <w:r>
              <w:rPr>
                <w:color w:val="0C0C0C"/>
              </w:rPr>
              <w:t>Pupil premium funding carried forward from previous years (enter £0 if not applicable)</w:t>
            </w:r>
          </w:p>
        </w:tc>
        <w:tc>
          <w:tcPr>
            <w:tcW w:w="2792" w:type="dxa"/>
          </w:tcPr>
          <w:p w:rsidR="00E56E37" w:rsidRDefault="009851CD">
            <w:pPr>
              <w:pStyle w:val="TableParagraph"/>
              <w:ind w:left="154"/>
            </w:pPr>
            <w:r>
              <w:rPr>
                <w:color w:val="0C0C0C"/>
              </w:rPr>
              <w:t>£0</w:t>
            </w:r>
          </w:p>
        </w:tc>
      </w:tr>
      <w:tr w:rsidR="00E56E37">
        <w:trPr>
          <w:trHeight w:val="1206"/>
        </w:trPr>
        <w:tc>
          <w:tcPr>
            <w:tcW w:w="6126" w:type="dxa"/>
          </w:tcPr>
          <w:p w:rsidR="00E56E37" w:rsidRDefault="009851CD">
            <w:pPr>
              <w:pStyle w:val="TableParagraph"/>
              <w:rPr>
                <w:rFonts w:ascii="Arial"/>
                <w:b/>
              </w:rPr>
            </w:pPr>
            <w:r>
              <w:rPr>
                <w:rFonts w:ascii="Arial"/>
                <w:b/>
                <w:color w:val="0C0C0C"/>
              </w:rPr>
              <w:t>Total budget for this academic year</w:t>
            </w:r>
          </w:p>
          <w:p w:rsidR="00E56E37" w:rsidRDefault="009851CD">
            <w:pPr>
              <w:pStyle w:val="TableParagraph"/>
              <w:spacing w:before="64" w:line="244" w:lineRule="auto"/>
              <w:ind w:right="332"/>
            </w:pPr>
            <w:r>
              <w:rPr>
                <w:color w:val="0C0C0C"/>
              </w:rPr>
              <w:t>If your school is an academy in a trust that pools this funding, state the amount available to your school this academic year</w:t>
            </w:r>
          </w:p>
        </w:tc>
        <w:tc>
          <w:tcPr>
            <w:tcW w:w="2792" w:type="dxa"/>
          </w:tcPr>
          <w:p w:rsidR="00E56E37" w:rsidRDefault="009851CD" w:rsidP="0097770A">
            <w:pPr>
              <w:pStyle w:val="TableParagraph"/>
              <w:ind w:left="154"/>
            </w:pPr>
            <w:r>
              <w:rPr>
                <w:color w:val="0C0C0C"/>
              </w:rPr>
              <w:t>£</w:t>
            </w:r>
          </w:p>
        </w:tc>
      </w:tr>
    </w:tbl>
    <w:p w:rsidR="00E56E37" w:rsidRDefault="00E56E37">
      <w:pPr>
        <w:sectPr w:rsidR="00E56E37">
          <w:footerReference w:type="default" r:id="rId7"/>
          <w:type w:val="continuous"/>
          <w:pgSz w:w="12240" w:h="15840"/>
          <w:pgMar w:top="1000" w:right="1620" w:bottom="840" w:left="1480" w:header="720" w:footer="651" w:gutter="0"/>
          <w:pgNumType w:start="1"/>
          <w:cols w:space="720"/>
        </w:sectPr>
      </w:pPr>
    </w:p>
    <w:p w:rsidR="00E56E37" w:rsidRDefault="009851CD">
      <w:pPr>
        <w:spacing w:before="73"/>
        <w:ind w:left="103"/>
        <w:rPr>
          <w:rFonts w:ascii="Arial"/>
          <w:b/>
          <w:sz w:val="33"/>
        </w:rPr>
      </w:pPr>
      <w:r>
        <w:rPr>
          <w:rFonts w:ascii="Arial"/>
          <w:b/>
          <w:color w:val="0F4F75"/>
          <w:sz w:val="33"/>
        </w:rPr>
        <w:lastRenderedPageBreak/>
        <w:t>Part A: Pupil premium strategy plan</w:t>
      </w:r>
    </w:p>
    <w:p w:rsidR="00E56E37" w:rsidRDefault="00E56E37">
      <w:pPr>
        <w:pStyle w:val="BodyText"/>
        <w:spacing w:before="6"/>
        <w:rPr>
          <w:rFonts w:ascii="Arial"/>
          <w:b/>
          <w:sz w:val="39"/>
        </w:rPr>
      </w:pPr>
    </w:p>
    <w:p w:rsidR="00E56E37" w:rsidRDefault="009851CD">
      <w:pPr>
        <w:ind w:left="103"/>
        <w:rPr>
          <w:rFonts w:ascii="Arial"/>
          <w:b/>
          <w:sz w:val="30"/>
        </w:rPr>
      </w:pPr>
      <w:r>
        <w:rPr>
          <w:rFonts w:ascii="Arial"/>
          <w:b/>
          <w:color w:val="0F4F75"/>
          <w:sz w:val="30"/>
        </w:rPr>
        <w:t>Statement of intent</w:t>
      </w:r>
    </w:p>
    <w:p w:rsidR="00E56E37" w:rsidRDefault="009851CD">
      <w:pPr>
        <w:spacing w:before="240" w:line="292" w:lineRule="auto"/>
        <w:ind w:left="211" w:right="318"/>
        <w:rPr>
          <w:sz w:val="25"/>
        </w:rPr>
      </w:pPr>
      <w:r>
        <w:rPr>
          <w:noProof/>
          <w:lang w:val="en-GB" w:eastAsia="en-GB"/>
        </w:rPr>
        <mc:AlternateContent>
          <mc:Choice Requires="wps">
            <w:drawing>
              <wp:anchor distT="0" distB="0" distL="114300" distR="114300" simplePos="0" relativeHeight="487271936" behindDoc="1" locked="0" layoutInCell="1" allowOverlap="1">
                <wp:simplePos x="0" y="0"/>
                <wp:positionH relativeFrom="page">
                  <wp:posOffset>1005840</wp:posOffset>
                </wp:positionH>
                <wp:positionV relativeFrom="paragraph">
                  <wp:posOffset>142875</wp:posOffset>
                </wp:positionV>
                <wp:extent cx="5668010" cy="766572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8010" cy="7665720"/>
                        </a:xfrm>
                        <a:custGeom>
                          <a:avLst/>
                          <a:gdLst>
                            <a:gd name="T0" fmla="+- 0 10510 1584"/>
                            <a:gd name="T1" fmla="*/ T0 w 8926"/>
                            <a:gd name="T2" fmla="+- 0 225 225"/>
                            <a:gd name="T3" fmla="*/ 225 h 12072"/>
                            <a:gd name="T4" fmla="+- 0 10502 1584"/>
                            <a:gd name="T5" fmla="*/ T4 w 8926"/>
                            <a:gd name="T6" fmla="+- 0 225 225"/>
                            <a:gd name="T7" fmla="*/ 225 h 12072"/>
                            <a:gd name="T8" fmla="+- 0 10502 1584"/>
                            <a:gd name="T9" fmla="*/ T8 w 8926"/>
                            <a:gd name="T10" fmla="+- 0 234 225"/>
                            <a:gd name="T11" fmla="*/ 234 h 12072"/>
                            <a:gd name="T12" fmla="+- 0 10502 1584"/>
                            <a:gd name="T13" fmla="*/ T12 w 8926"/>
                            <a:gd name="T14" fmla="+- 0 12287 225"/>
                            <a:gd name="T15" fmla="*/ 12287 h 12072"/>
                            <a:gd name="T16" fmla="+- 0 1591 1584"/>
                            <a:gd name="T17" fmla="*/ T16 w 8926"/>
                            <a:gd name="T18" fmla="+- 0 12287 225"/>
                            <a:gd name="T19" fmla="*/ 12287 h 12072"/>
                            <a:gd name="T20" fmla="+- 0 1591 1584"/>
                            <a:gd name="T21" fmla="*/ T20 w 8926"/>
                            <a:gd name="T22" fmla="+- 0 234 225"/>
                            <a:gd name="T23" fmla="*/ 234 h 12072"/>
                            <a:gd name="T24" fmla="+- 0 10502 1584"/>
                            <a:gd name="T25" fmla="*/ T24 w 8926"/>
                            <a:gd name="T26" fmla="+- 0 234 225"/>
                            <a:gd name="T27" fmla="*/ 234 h 12072"/>
                            <a:gd name="T28" fmla="+- 0 10502 1584"/>
                            <a:gd name="T29" fmla="*/ T28 w 8926"/>
                            <a:gd name="T30" fmla="+- 0 225 225"/>
                            <a:gd name="T31" fmla="*/ 225 h 12072"/>
                            <a:gd name="T32" fmla="+- 0 1584 1584"/>
                            <a:gd name="T33" fmla="*/ T32 w 8926"/>
                            <a:gd name="T34" fmla="+- 0 225 225"/>
                            <a:gd name="T35" fmla="*/ 225 h 12072"/>
                            <a:gd name="T36" fmla="+- 0 1584 1584"/>
                            <a:gd name="T37" fmla="*/ T36 w 8926"/>
                            <a:gd name="T38" fmla="+- 0 234 225"/>
                            <a:gd name="T39" fmla="*/ 234 h 12072"/>
                            <a:gd name="T40" fmla="+- 0 1584 1584"/>
                            <a:gd name="T41" fmla="*/ T40 w 8926"/>
                            <a:gd name="T42" fmla="+- 0 12287 225"/>
                            <a:gd name="T43" fmla="*/ 12287 h 12072"/>
                            <a:gd name="T44" fmla="+- 0 1584 1584"/>
                            <a:gd name="T45" fmla="*/ T44 w 8926"/>
                            <a:gd name="T46" fmla="+- 0 12297 225"/>
                            <a:gd name="T47" fmla="*/ 12297 h 12072"/>
                            <a:gd name="T48" fmla="+- 0 1591 1584"/>
                            <a:gd name="T49" fmla="*/ T48 w 8926"/>
                            <a:gd name="T50" fmla="+- 0 12297 225"/>
                            <a:gd name="T51" fmla="*/ 12297 h 12072"/>
                            <a:gd name="T52" fmla="+- 0 10502 1584"/>
                            <a:gd name="T53" fmla="*/ T52 w 8926"/>
                            <a:gd name="T54" fmla="+- 0 12297 225"/>
                            <a:gd name="T55" fmla="*/ 12297 h 12072"/>
                            <a:gd name="T56" fmla="+- 0 10510 1584"/>
                            <a:gd name="T57" fmla="*/ T56 w 8926"/>
                            <a:gd name="T58" fmla="+- 0 12297 225"/>
                            <a:gd name="T59" fmla="*/ 12297 h 12072"/>
                            <a:gd name="T60" fmla="+- 0 10510 1584"/>
                            <a:gd name="T61" fmla="*/ T60 w 8926"/>
                            <a:gd name="T62" fmla="+- 0 225 225"/>
                            <a:gd name="T63" fmla="*/ 225 h 120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926" h="12072">
                              <a:moveTo>
                                <a:pt x="8926" y="0"/>
                              </a:moveTo>
                              <a:lnTo>
                                <a:pt x="8918" y="0"/>
                              </a:lnTo>
                              <a:lnTo>
                                <a:pt x="8918" y="9"/>
                              </a:lnTo>
                              <a:lnTo>
                                <a:pt x="8918" y="12062"/>
                              </a:lnTo>
                              <a:lnTo>
                                <a:pt x="7" y="12062"/>
                              </a:lnTo>
                              <a:lnTo>
                                <a:pt x="7" y="9"/>
                              </a:lnTo>
                              <a:lnTo>
                                <a:pt x="8918" y="9"/>
                              </a:lnTo>
                              <a:lnTo>
                                <a:pt x="8918" y="0"/>
                              </a:lnTo>
                              <a:lnTo>
                                <a:pt x="0" y="0"/>
                              </a:lnTo>
                              <a:lnTo>
                                <a:pt x="0" y="9"/>
                              </a:lnTo>
                              <a:lnTo>
                                <a:pt x="0" y="12062"/>
                              </a:lnTo>
                              <a:lnTo>
                                <a:pt x="0" y="12072"/>
                              </a:lnTo>
                              <a:lnTo>
                                <a:pt x="7" y="12072"/>
                              </a:lnTo>
                              <a:lnTo>
                                <a:pt x="8918" y="12072"/>
                              </a:lnTo>
                              <a:lnTo>
                                <a:pt x="8926" y="12072"/>
                              </a:lnTo>
                              <a:lnTo>
                                <a:pt x="89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F27D3" id="Freeform 4" o:spid="_x0000_s1026" style="position:absolute;margin-left:79.2pt;margin-top:11.25pt;width:446.3pt;height:603.6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26,1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" path="m8926,r-8,l8918,9r,12053l7,12062,7,9r8911,l8918,,,,,9,,12062r,10l7,12072r8911,l8926,12072,8926,xe" fillcolor="black" stroked="f">
                <v:path arrowok="t" o:connecttype="custom" o:connectlocs="5668010,142875;5662930,142875;5662930,148590;5662930,7802245;4445,7802245;4445,148590;5662930,148590;5662930,142875;0,142875;0,148590;0,7802245;0,7808595;4445,7808595;5662930,7808595;5668010,7808595;5668010,142875" o:connectangles="0,0,0,0,0,0,0,0,0,0,0,0,0,0,0,0"/>
                <w10:wrap anchorx="page"/>
              </v:shape>
            </w:pict>
          </mc:Fallback>
        </mc:AlternateContent>
      </w:r>
      <w:r>
        <w:rPr>
          <w:sz w:val="25"/>
        </w:rPr>
        <w:t>Our intention is that all pupils, irrespective of their background or the challenges they face, make good progress and achieve high attainment across the curriculum.</w:t>
      </w:r>
    </w:p>
    <w:p w:rsidR="00E56E37" w:rsidRDefault="009851CD">
      <w:pPr>
        <w:spacing w:before="224" w:line="292" w:lineRule="auto"/>
        <w:ind w:left="211" w:right="318"/>
        <w:rPr>
          <w:sz w:val="25"/>
        </w:rPr>
      </w:pPr>
      <w:r>
        <w:rPr>
          <w:sz w:val="25"/>
        </w:rPr>
        <w:t>The focus of our pupil premium strategy is to support disadvantaged pupils, irrespective of prior attainment, to achieve that goal. We will consider the challenges faced by vulnerable pupils, such as those in care, those who have a social worker or are young carers. The activity we have outlined in this statement will also support those students who are not disadvantaged.</w:t>
      </w:r>
    </w:p>
    <w:p w:rsidR="00E56E37" w:rsidRDefault="009851CD">
      <w:pPr>
        <w:spacing w:before="222" w:line="292" w:lineRule="auto"/>
        <w:ind w:left="211" w:right="318"/>
        <w:rPr>
          <w:sz w:val="25"/>
        </w:rPr>
      </w:pPr>
      <w:r>
        <w:rPr>
          <w:sz w:val="25"/>
        </w:rPr>
        <w:t>High-quality teaching is at the heart of our approach. This is proven to have the greatest impact on closing the disadvantage attainment gap and at the same time will benefit the non-disadvantaged pupils in our school. Implicit in the intended outcomes detailed below, is the intention that non- disadvantaged pupils’ attainment will be sustained and improved alongside progress for their disadvantaged peers.</w:t>
      </w:r>
    </w:p>
    <w:p w:rsidR="00E56E37" w:rsidRDefault="009851CD">
      <w:pPr>
        <w:spacing w:before="224" w:line="292" w:lineRule="auto"/>
        <w:ind w:left="211" w:right="318"/>
        <w:rPr>
          <w:sz w:val="25"/>
        </w:rPr>
      </w:pPr>
      <w:r>
        <w:rPr>
          <w:sz w:val="25"/>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56E37" w:rsidRDefault="009851CD">
      <w:pPr>
        <w:pStyle w:val="ListParagraph"/>
        <w:numPr>
          <w:ilvl w:val="0"/>
          <w:numId w:val="1"/>
        </w:numPr>
        <w:tabs>
          <w:tab w:val="left" w:pos="889"/>
          <w:tab w:val="left" w:pos="890"/>
        </w:tabs>
        <w:spacing w:before="222"/>
        <w:ind w:left="889" w:hanging="340"/>
        <w:rPr>
          <w:sz w:val="25"/>
        </w:rPr>
      </w:pPr>
      <w:r>
        <w:rPr>
          <w:sz w:val="25"/>
        </w:rPr>
        <w:t>ensure disadvantaged pupils are challenged in the work that they’re</w:t>
      </w:r>
      <w:r>
        <w:rPr>
          <w:spacing w:val="69"/>
          <w:sz w:val="25"/>
        </w:rPr>
        <w:t xml:space="preserve"> </w:t>
      </w:r>
      <w:r>
        <w:rPr>
          <w:sz w:val="25"/>
        </w:rPr>
        <w:t>set</w:t>
      </w:r>
    </w:p>
    <w:p w:rsidR="00E56E37" w:rsidRDefault="009851CD">
      <w:pPr>
        <w:pStyle w:val="ListParagraph"/>
        <w:numPr>
          <w:ilvl w:val="0"/>
          <w:numId w:val="1"/>
        </w:numPr>
        <w:tabs>
          <w:tab w:val="left" w:pos="889"/>
          <w:tab w:val="left" w:pos="890"/>
        </w:tabs>
        <w:spacing w:before="58"/>
        <w:ind w:left="889" w:hanging="340"/>
        <w:rPr>
          <w:sz w:val="25"/>
        </w:rPr>
      </w:pPr>
      <w:r>
        <w:rPr>
          <w:sz w:val="25"/>
        </w:rPr>
        <w:t>act early to intervene at the point need is</w:t>
      </w:r>
      <w:r>
        <w:rPr>
          <w:spacing w:val="11"/>
          <w:sz w:val="25"/>
        </w:rPr>
        <w:t xml:space="preserve"> </w:t>
      </w:r>
      <w:r>
        <w:rPr>
          <w:sz w:val="25"/>
        </w:rPr>
        <w:t>identified</w:t>
      </w:r>
    </w:p>
    <w:p w:rsidR="00E56E37" w:rsidRDefault="009851CD">
      <w:pPr>
        <w:pStyle w:val="ListParagraph"/>
        <w:numPr>
          <w:ilvl w:val="0"/>
          <w:numId w:val="1"/>
        </w:numPr>
        <w:tabs>
          <w:tab w:val="left" w:pos="889"/>
          <w:tab w:val="left" w:pos="890"/>
        </w:tabs>
        <w:spacing w:before="64" w:line="290" w:lineRule="auto"/>
        <w:ind w:right="425"/>
        <w:rPr>
          <w:sz w:val="25"/>
        </w:rPr>
      </w:pPr>
      <w:r>
        <w:rPr>
          <w:sz w:val="25"/>
        </w:rPr>
        <w:t>adopt a whole school approach in which all staff take responsibility for disadvantaged pupils’ outcomes and raise expectations of what they can</w:t>
      </w:r>
      <w:r>
        <w:rPr>
          <w:spacing w:val="-1"/>
          <w:sz w:val="25"/>
        </w:rPr>
        <w:t xml:space="preserve"> </w:t>
      </w:r>
      <w:r>
        <w:rPr>
          <w:sz w:val="25"/>
        </w:rPr>
        <w:t>achieve.</w:t>
      </w:r>
    </w:p>
    <w:p w:rsidR="00E56E37" w:rsidRDefault="009851CD">
      <w:pPr>
        <w:pStyle w:val="ListParagraph"/>
        <w:numPr>
          <w:ilvl w:val="0"/>
          <w:numId w:val="1"/>
        </w:numPr>
        <w:tabs>
          <w:tab w:val="left" w:pos="889"/>
          <w:tab w:val="left" w:pos="890"/>
        </w:tabs>
        <w:ind w:left="889" w:hanging="340"/>
        <w:rPr>
          <w:sz w:val="25"/>
        </w:rPr>
      </w:pPr>
      <w:r>
        <w:rPr>
          <w:sz w:val="25"/>
        </w:rPr>
        <w:t>Provide appropriate support for SEMH and</w:t>
      </w:r>
      <w:r>
        <w:rPr>
          <w:spacing w:val="12"/>
          <w:sz w:val="25"/>
        </w:rPr>
        <w:t xml:space="preserve"> </w:t>
      </w:r>
      <w:r>
        <w:rPr>
          <w:sz w:val="25"/>
        </w:rPr>
        <w:t>wellbeing.</w:t>
      </w:r>
    </w:p>
    <w:p w:rsidR="00E56E37" w:rsidRDefault="00E56E37">
      <w:pPr>
        <w:pStyle w:val="BodyText"/>
        <w:rPr>
          <w:sz w:val="36"/>
        </w:rPr>
      </w:pPr>
    </w:p>
    <w:p w:rsidR="00E56E37" w:rsidRDefault="009851CD">
      <w:pPr>
        <w:spacing w:line="290" w:lineRule="auto"/>
        <w:ind w:left="211"/>
        <w:rPr>
          <w:sz w:val="25"/>
        </w:rPr>
      </w:pPr>
      <w:r>
        <w:rPr>
          <w:sz w:val="25"/>
        </w:rPr>
        <w:t>The academy will also encourage engagement with learning through events which enrich cultural capital and an extensive extra-curriculum programme.</w:t>
      </w:r>
    </w:p>
    <w:p w:rsidR="00E56E37" w:rsidRDefault="00E56E37">
      <w:pPr>
        <w:spacing w:line="290" w:lineRule="auto"/>
        <w:rPr>
          <w:sz w:val="25"/>
        </w:rPr>
        <w:sectPr w:rsidR="00E56E37">
          <w:pgSz w:w="12240" w:h="15840"/>
          <w:pgMar w:top="1000" w:right="1620" w:bottom="920" w:left="1480" w:header="0" w:footer="651" w:gutter="0"/>
          <w:cols w:space="720"/>
        </w:sectPr>
      </w:pPr>
    </w:p>
    <w:p w:rsidR="00E56E37" w:rsidRDefault="009851CD">
      <w:pPr>
        <w:spacing w:before="65"/>
        <w:ind w:left="103"/>
        <w:rPr>
          <w:rFonts w:ascii="Arial"/>
          <w:b/>
          <w:sz w:val="30"/>
        </w:rPr>
      </w:pPr>
      <w:r>
        <w:rPr>
          <w:rFonts w:ascii="Arial"/>
          <w:b/>
          <w:color w:val="0F4F75"/>
          <w:sz w:val="30"/>
        </w:rPr>
        <w:lastRenderedPageBreak/>
        <w:t>Challenges</w:t>
      </w:r>
    </w:p>
    <w:p w:rsidR="00E56E37" w:rsidRDefault="009851CD">
      <w:pPr>
        <w:pStyle w:val="BodyText"/>
        <w:spacing w:before="234" w:line="244" w:lineRule="auto"/>
        <w:ind w:left="103"/>
      </w:pPr>
      <w:r>
        <w:t>This details the key challenges to achievement that we have identified among our disadvantaged pupils.</w:t>
      </w:r>
    </w:p>
    <w:p w:rsidR="00E56E37" w:rsidRDefault="00E56E37">
      <w:pPr>
        <w:pStyle w:val="BodyText"/>
        <w:spacing w:before="4"/>
        <w:rPr>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1"/>
        <w:gridCol w:w="7528"/>
      </w:tblGrid>
      <w:tr w:rsidR="00E56E37">
        <w:trPr>
          <w:trHeight w:val="630"/>
        </w:trPr>
        <w:tc>
          <w:tcPr>
            <w:tcW w:w="1391" w:type="dxa"/>
            <w:shd w:val="clear" w:color="auto" w:fill="D8E2E8"/>
          </w:tcPr>
          <w:p w:rsidR="00E56E37" w:rsidRDefault="009851CD">
            <w:pPr>
              <w:pStyle w:val="TableParagraph"/>
              <w:spacing w:before="61" w:line="244" w:lineRule="auto"/>
              <w:rPr>
                <w:rFonts w:ascii="Arial"/>
                <w:b/>
              </w:rPr>
            </w:pPr>
            <w:r>
              <w:rPr>
                <w:rFonts w:ascii="Arial"/>
                <w:b/>
                <w:color w:val="0C0C0C"/>
              </w:rPr>
              <w:t>Challenge number</w:t>
            </w:r>
          </w:p>
        </w:tc>
        <w:tc>
          <w:tcPr>
            <w:tcW w:w="7528" w:type="dxa"/>
            <w:shd w:val="clear" w:color="auto" w:fill="D8E2E8"/>
          </w:tcPr>
          <w:p w:rsidR="00E56E37" w:rsidRDefault="009851CD">
            <w:pPr>
              <w:pStyle w:val="TableParagraph"/>
              <w:spacing w:before="61"/>
              <w:ind w:left="151"/>
              <w:rPr>
                <w:rFonts w:ascii="Arial"/>
                <w:b/>
              </w:rPr>
            </w:pPr>
            <w:r>
              <w:rPr>
                <w:rFonts w:ascii="Arial"/>
                <w:b/>
                <w:color w:val="0C0C0C"/>
              </w:rPr>
              <w:t>Detail of challenge</w:t>
            </w:r>
          </w:p>
        </w:tc>
      </w:tr>
      <w:tr w:rsidR="00E56E37">
        <w:trPr>
          <w:trHeight w:val="1409"/>
        </w:trPr>
        <w:tc>
          <w:tcPr>
            <w:tcW w:w="1391" w:type="dxa"/>
          </w:tcPr>
          <w:p w:rsidR="00E56E37" w:rsidRDefault="009851CD">
            <w:pPr>
              <w:pStyle w:val="TableParagraph"/>
              <w:spacing w:before="63"/>
              <w:rPr>
                <w:sz w:val="20"/>
              </w:rPr>
            </w:pPr>
            <w:r>
              <w:rPr>
                <w:color w:val="0C0C0C"/>
                <w:w w:val="103"/>
                <w:sz w:val="20"/>
              </w:rPr>
              <w:t>1</w:t>
            </w:r>
          </w:p>
        </w:tc>
        <w:tc>
          <w:tcPr>
            <w:tcW w:w="7528" w:type="dxa"/>
          </w:tcPr>
          <w:p w:rsidR="00E56E37" w:rsidRDefault="009851CD" w:rsidP="0097770A">
            <w:pPr>
              <w:pStyle w:val="TableParagraph"/>
              <w:spacing w:before="61" w:line="247" w:lineRule="auto"/>
              <w:ind w:left="151" w:right="373"/>
            </w:pPr>
            <w:r>
              <w:rPr>
                <w:color w:val="0C0C0C"/>
              </w:rPr>
              <w:t>Our observations, end of year assessments and discussion with pupils suggest that disadvantag</w:t>
            </w:r>
            <w:r w:rsidR="0097770A">
              <w:rPr>
                <w:color w:val="0C0C0C"/>
              </w:rPr>
              <w:t xml:space="preserve">ed students have fallen </w:t>
            </w:r>
            <w:r>
              <w:rPr>
                <w:color w:val="0C0C0C"/>
              </w:rPr>
              <w:t>behind with  their learning</w:t>
            </w:r>
            <w:r w:rsidR="0097770A">
              <w:rPr>
                <w:color w:val="0C0C0C"/>
              </w:rPr>
              <w:t xml:space="preserve"> when compared to their non-disadvantaged peers.  This is a picture shown nationally as well as locally.</w:t>
            </w:r>
            <w:r>
              <w:rPr>
                <w:color w:val="0C0C0C"/>
              </w:rPr>
              <w:t xml:space="preserve"> </w:t>
            </w:r>
          </w:p>
        </w:tc>
      </w:tr>
      <w:tr w:rsidR="00E56E37">
        <w:trPr>
          <w:trHeight w:val="1667"/>
        </w:trPr>
        <w:tc>
          <w:tcPr>
            <w:tcW w:w="1391" w:type="dxa"/>
          </w:tcPr>
          <w:p w:rsidR="00E56E37" w:rsidRDefault="009851CD">
            <w:pPr>
              <w:pStyle w:val="TableParagraph"/>
              <w:rPr>
                <w:sz w:val="20"/>
              </w:rPr>
            </w:pPr>
            <w:r>
              <w:rPr>
                <w:color w:val="0C0C0C"/>
                <w:w w:val="103"/>
                <w:sz w:val="20"/>
              </w:rPr>
              <w:t>2</w:t>
            </w:r>
          </w:p>
        </w:tc>
        <w:tc>
          <w:tcPr>
            <w:tcW w:w="7528" w:type="dxa"/>
          </w:tcPr>
          <w:p w:rsidR="00E56E37" w:rsidRDefault="009851CD">
            <w:pPr>
              <w:pStyle w:val="TableParagraph"/>
              <w:spacing w:line="244" w:lineRule="auto"/>
              <w:ind w:left="151" w:right="273"/>
            </w:pPr>
            <w:r>
              <w:t>Assessments, observations and discussion with KS3 pupils indicate that disadvantaged pupils generally have lower levels of reading comprehension than peers. This affects their progress in all subjects.</w:t>
            </w:r>
          </w:p>
          <w:p w:rsidR="00E56E37" w:rsidRDefault="009851CD">
            <w:pPr>
              <w:pStyle w:val="TableParagraph"/>
              <w:spacing w:before="3" w:line="244" w:lineRule="auto"/>
              <w:ind w:left="151" w:right="373"/>
            </w:pPr>
            <w:r w:rsidRPr="0097770A">
              <w:rPr>
                <w:highlight w:val="yellow"/>
              </w:rPr>
              <w:t>On entry to year 7 in the last 3 years, between X - Y% of our disadvantaged pupils arrive below age-related expectations compared to X - Y% of their peers.</w:t>
            </w:r>
          </w:p>
        </w:tc>
      </w:tr>
      <w:tr w:rsidR="00E56E37">
        <w:trPr>
          <w:trHeight w:val="1300"/>
        </w:trPr>
        <w:tc>
          <w:tcPr>
            <w:tcW w:w="1391" w:type="dxa"/>
          </w:tcPr>
          <w:p w:rsidR="00E56E37" w:rsidRDefault="009851CD">
            <w:pPr>
              <w:pStyle w:val="TableParagraph"/>
              <w:rPr>
                <w:sz w:val="20"/>
              </w:rPr>
            </w:pPr>
            <w:r>
              <w:rPr>
                <w:color w:val="0C0C0C"/>
                <w:w w:val="103"/>
                <w:sz w:val="20"/>
              </w:rPr>
              <w:t>3</w:t>
            </w:r>
          </w:p>
        </w:tc>
        <w:tc>
          <w:tcPr>
            <w:tcW w:w="7528" w:type="dxa"/>
          </w:tcPr>
          <w:p w:rsidR="00E56E37" w:rsidRDefault="009851CD">
            <w:pPr>
              <w:pStyle w:val="TableParagraph"/>
              <w:spacing w:line="249" w:lineRule="auto"/>
              <w:ind w:left="151" w:right="273" w:hanging="1"/>
              <w:rPr>
                <w:sz w:val="20"/>
              </w:rPr>
            </w:pPr>
            <w:r>
              <w:rPr>
                <w:color w:val="0C0C0C"/>
                <w:w w:val="105"/>
                <w:sz w:val="20"/>
              </w:rPr>
              <w:t>Our</w:t>
            </w:r>
            <w:r>
              <w:rPr>
                <w:color w:val="0C0C0C"/>
                <w:spacing w:val="-16"/>
                <w:w w:val="105"/>
                <w:sz w:val="20"/>
              </w:rPr>
              <w:t xml:space="preserve"> </w:t>
            </w:r>
            <w:r>
              <w:rPr>
                <w:color w:val="0C0C0C"/>
                <w:w w:val="105"/>
                <w:sz w:val="20"/>
              </w:rPr>
              <w:t>discussions</w:t>
            </w:r>
            <w:r>
              <w:rPr>
                <w:color w:val="0C0C0C"/>
                <w:spacing w:val="-12"/>
                <w:w w:val="105"/>
                <w:sz w:val="20"/>
              </w:rPr>
              <w:t xml:space="preserve"> </w:t>
            </w:r>
            <w:r>
              <w:rPr>
                <w:color w:val="0C0C0C"/>
                <w:w w:val="105"/>
                <w:sz w:val="20"/>
              </w:rPr>
              <w:t>with</w:t>
            </w:r>
            <w:r>
              <w:rPr>
                <w:color w:val="0C0C0C"/>
                <w:spacing w:val="-17"/>
                <w:w w:val="105"/>
                <w:sz w:val="20"/>
              </w:rPr>
              <w:t xml:space="preserve"> </w:t>
            </w:r>
            <w:r>
              <w:rPr>
                <w:color w:val="0C0C0C"/>
                <w:w w:val="105"/>
                <w:sz w:val="20"/>
              </w:rPr>
              <w:t>pupils</w:t>
            </w:r>
            <w:r>
              <w:rPr>
                <w:color w:val="0C0C0C"/>
                <w:spacing w:val="-13"/>
                <w:w w:val="105"/>
                <w:sz w:val="20"/>
              </w:rPr>
              <w:t xml:space="preserve"> </w:t>
            </w:r>
            <w:r>
              <w:rPr>
                <w:color w:val="0C0C0C"/>
                <w:w w:val="105"/>
                <w:sz w:val="20"/>
              </w:rPr>
              <w:t>and</w:t>
            </w:r>
            <w:r>
              <w:rPr>
                <w:color w:val="0C0C0C"/>
                <w:spacing w:val="-13"/>
                <w:w w:val="105"/>
                <w:sz w:val="20"/>
              </w:rPr>
              <w:t xml:space="preserve"> </w:t>
            </w:r>
            <w:r>
              <w:rPr>
                <w:color w:val="0C0C0C"/>
                <w:w w:val="105"/>
                <w:sz w:val="20"/>
              </w:rPr>
              <w:t>parents</w:t>
            </w:r>
            <w:r>
              <w:rPr>
                <w:color w:val="0C0C0C"/>
                <w:spacing w:val="-14"/>
                <w:w w:val="105"/>
                <w:sz w:val="20"/>
              </w:rPr>
              <w:t xml:space="preserve"> </w:t>
            </w:r>
            <w:r>
              <w:rPr>
                <w:color w:val="0C0C0C"/>
                <w:w w:val="105"/>
                <w:sz w:val="20"/>
              </w:rPr>
              <w:t>suggest</w:t>
            </w:r>
            <w:r>
              <w:rPr>
                <w:color w:val="0C0C0C"/>
                <w:spacing w:val="-15"/>
                <w:w w:val="105"/>
                <w:sz w:val="20"/>
              </w:rPr>
              <w:t xml:space="preserve"> </w:t>
            </w:r>
            <w:r>
              <w:rPr>
                <w:color w:val="0C0C0C"/>
                <w:w w:val="105"/>
                <w:sz w:val="20"/>
              </w:rPr>
              <w:t>that</w:t>
            </w:r>
            <w:r>
              <w:rPr>
                <w:color w:val="0C0C0C"/>
                <w:spacing w:val="-15"/>
                <w:w w:val="105"/>
                <w:sz w:val="20"/>
              </w:rPr>
              <w:t xml:space="preserve"> </w:t>
            </w:r>
            <w:r>
              <w:rPr>
                <w:color w:val="0C0C0C"/>
                <w:w w:val="105"/>
                <w:sz w:val="20"/>
              </w:rPr>
              <w:t>disadvantaged</w:t>
            </w:r>
            <w:r>
              <w:rPr>
                <w:color w:val="0C0C0C"/>
                <w:spacing w:val="-15"/>
                <w:w w:val="105"/>
                <w:sz w:val="20"/>
              </w:rPr>
              <w:t xml:space="preserve"> </w:t>
            </w:r>
            <w:r>
              <w:rPr>
                <w:color w:val="0C0C0C"/>
                <w:w w:val="105"/>
                <w:sz w:val="20"/>
              </w:rPr>
              <w:t>students often have low aspirations, for example, not considering higher education or higher</w:t>
            </w:r>
            <w:r>
              <w:rPr>
                <w:color w:val="0C0C0C"/>
                <w:spacing w:val="-9"/>
                <w:w w:val="105"/>
                <w:sz w:val="20"/>
              </w:rPr>
              <w:t xml:space="preserve"> </w:t>
            </w:r>
            <w:r>
              <w:rPr>
                <w:color w:val="0C0C0C"/>
                <w:w w:val="105"/>
                <w:sz w:val="20"/>
              </w:rPr>
              <w:t>level</w:t>
            </w:r>
            <w:r>
              <w:rPr>
                <w:color w:val="0C0C0C"/>
                <w:spacing w:val="-12"/>
                <w:w w:val="105"/>
                <w:sz w:val="20"/>
              </w:rPr>
              <w:t xml:space="preserve"> </w:t>
            </w:r>
            <w:r>
              <w:rPr>
                <w:color w:val="0C0C0C"/>
                <w:w w:val="105"/>
                <w:sz w:val="20"/>
              </w:rPr>
              <w:t>career</w:t>
            </w:r>
            <w:r>
              <w:rPr>
                <w:color w:val="0C0C0C"/>
                <w:spacing w:val="-9"/>
                <w:w w:val="105"/>
                <w:sz w:val="20"/>
              </w:rPr>
              <w:t xml:space="preserve"> </w:t>
            </w:r>
            <w:r>
              <w:rPr>
                <w:color w:val="0C0C0C"/>
                <w:w w:val="105"/>
                <w:sz w:val="20"/>
              </w:rPr>
              <w:t>prospects.</w:t>
            </w:r>
            <w:r>
              <w:rPr>
                <w:color w:val="0C0C0C"/>
                <w:spacing w:val="34"/>
                <w:w w:val="105"/>
                <w:sz w:val="20"/>
              </w:rPr>
              <w:t xml:space="preserve"> </w:t>
            </w:r>
            <w:r>
              <w:rPr>
                <w:color w:val="0C0C0C"/>
                <w:w w:val="105"/>
                <w:sz w:val="20"/>
              </w:rPr>
              <w:t>This</w:t>
            </w:r>
            <w:r>
              <w:rPr>
                <w:color w:val="0C0C0C"/>
                <w:spacing w:val="-15"/>
                <w:w w:val="105"/>
                <w:sz w:val="20"/>
              </w:rPr>
              <w:t xml:space="preserve"> </w:t>
            </w:r>
            <w:r>
              <w:rPr>
                <w:color w:val="0C0C0C"/>
                <w:w w:val="105"/>
                <w:sz w:val="20"/>
              </w:rPr>
              <w:t>affects</w:t>
            </w:r>
            <w:r>
              <w:rPr>
                <w:color w:val="0C0C0C"/>
                <w:spacing w:val="-13"/>
                <w:w w:val="105"/>
                <w:sz w:val="20"/>
              </w:rPr>
              <w:t xml:space="preserve"> </w:t>
            </w:r>
            <w:r>
              <w:rPr>
                <w:color w:val="0C0C0C"/>
                <w:w w:val="105"/>
                <w:sz w:val="20"/>
              </w:rPr>
              <w:t>their</w:t>
            </w:r>
            <w:r>
              <w:rPr>
                <w:color w:val="0C0C0C"/>
                <w:spacing w:val="-12"/>
                <w:w w:val="105"/>
                <w:sz w:val="20"/>
              </w:rPr>
              <w:t xml:space="preserve"> </w:t>
            </w:r>
            <w:r>
              <w:rPr>
                <w:color w:val="0C0C0C"/>
                <w:w w:val="105"/>
                <w:sz w:val="20"/>
              </w:rPr>
              <w:t>engagement</w:t>
            </w:r>
            <w:r>
              <w:rPr>
                <w:color w:val="0C0C0C"/>
                <w:spacing w:val="-12"/>
                <w:w w:val="105"/>
                <w:sz w:val="20"/>
              </w:rPr>
              <w:t xml:space="preserve"> </w:t>
            </w:r>
            <w:r>
              <w:rPr>
                <w:color w:val="0C0C0C"/>
                <w:w w:val="105"/>
                <w:sz w:val="20"/>
              </w:rPr>
              <w:t>with</w:t>
            </w:r>
            <w:r>
              <w:rPr>
                <w:color w:val="0C0C0C"/>
                <w:spacing w:val="-10"/>
                <w:w w:val="105"/>
                <w:sz w:val="20"/>
              </w:rPr>
              <w:t xml:space="preserve"> </w:t>
            </w:r>
            <w:r>
              <w:rPr>
                <w:color w:val="0C0C0C"/>
                <w:w w:val="105"/>
                <w:sz w:val="20"/>
              </w:rPr>
              <w:t>learning</w:t>
            </w:r>
            <w:r>
              <w:rPr>
                <w:color w:val="0C0C0C"/>
                <w:spacing w:val="-10"/>
                <w:w w:val="105"/>
                <w:sz w:val="20"/>
              </w:rPr>
              <w:t xml:space="preserve"> </w:t>
            </w:r>
            <w:r>
              <w:rPr>
                <w:color w:val="0C0C0C"/>
                <w:w w:val="105"/>
                <w:sz w:val="20"/>
              </w:rPr>
              <w:t>as they do not always recognise its significance to improve quality of life when they are</w:t>
            </w:r>
            <w:r>
              <w:rPr>
                <w:color w:val="0C0C0C"/>
                <w:spacing w:val="-4"/>
                <w:w w:val="105"/>
                <w:sz w:val="20"/>
              </w:rPr>
              <w:t xml:space="preserve"> </w:t>
            </w:r>
            <w:r>
              <w:rPr>
                <w:color w:val="0C0C0C"/>
                <w:w w:val="105"/>
                <w:sz w:val="20"/>
              </w:rPr>
              <w:t>older.</w:t>
            </w:r>
          </w:p>
        </w:tc>
      </w:tr>
      <w:tr w:rsidR="00E56E37">
        <w:trPr>
          <w:trHeight w:val="3597"/>
        </w:trPr>
        <w:tc>
          <w:tcPr>
            <w:tcW w:w="1391" w:type="dxa"/>
          </w:tcPr>
          <w:p w:rsidR="00E56E37" w:rsidRDefault="009851CD">
            <w:pPr>
              <w:pStyle w:val="TableParagraph"/>
              <w:spacing w:before="64"/>
              <w:rPr>
                <w:sz w:val="20"/>
              </w:rPr>
            </w:pPr>
            <w:r>
              <w:rPr>
                <w:color w:val="0C0C0C"/>
                <w:w w:val="103"/>
                <w:sz w:val="20"/>
              </w:rPr>
              <w:t>4</w:t>
            </w:r>
          </w:p>
        </w:tc>
        <w:tc>
          <w:tcPr>
            <w:tcW w:w="7528" w:type="dxa"/>
          </w:tcPr>
          <w:p w:rsidR="00E56E37" w:rsidRDefault="009851CD">
            <w:pPr>
              <w:pStyle w:val="TableParagraph"/>
              <w:spacing w:before="64" w:line="244" w:lineRule="auto"/>
              <w:ind w:left="151" w:right="273"/>
            </w:pPr>
            <w:r>
              <w:t>Our assessments (including wellbeing survey), observations and discussions with pupils and families have identified social and emotional issues for many pupils, such as anxiety, depression (diagnosed by medical professionals) and low self-esteem. These challenges particularly affect disadvantaged pupils, including their attainment.</w:t>
            </w:r>
          </w:p>
          <w:p w:rsidR="00E56E37" w:rsidRDefault="00E56E37">
            <w:pPr>
              <w:pStyle w:val="TableParagraph"/>
              <w:spacing w:before="2"/>
              <w:ind w:left="0"/>
              <w:rPr>
                <w:sz w:val="33"/>
              </w:rPr>
            </w:pPr>
          </w:p>
          <w:p w:rsidR="00E56E37" w:rsidRDefault="0097770A">
            <w:pPr>
              <w:pStyle w:val="TableParagraph"/>
              <w:spacing w:before="0" w:line="244" w:lineRule="auto"/>
              <w:ind w:left="151" w:right="334"/>
            </w:pPr>
            <w:r>
              <w:t xml:space="preserve">Despite the pandemic having been over for a while now, we continue to see </w:t>
            </w:r>
            <w:r w:rsidR="00E725F2">
              <w:t xml:space="preserve">a significant number of students with mental health needs, frequently due to the effects the pandemic had on them, with a large number of these coming from a disadvantaged background.  </w:t>
            </w:r>
          </w:p>
        </w:tc>
      </w:tr>
      <w:tr w:rsidR="00E56E37">
        <w:trPr>
          <w:trHeight w:val="2450"/>
        </w:trPr>
        <w:tc>
          <w:tcPr>
            <w:tcW w:w="1391" w:type="dxa"/>
          </w:tcPr>
          <w:p w:rsidR="00E56E37" w:rsidRDefault="009851CD">
            <w:pPr>
              <w:pStyle w:val="TableParagraph"/>
              <w:spacing w:before="64"/>
              <w:rPr>
                <w:sz w:val="20"/>
              </w:rPr>
            </w:pPr>
            <w:r>
              <w:rPr>
                <w:color w:val="0C0C0C"/>
                <w:w w:val="103"/>
                <w:sz w:val="20"/>
              </w:rPr>
              <w:t>5</w:t>
            </w:r>
          </w:p>
        </w:tc>
        <w:tc>
          <w:tcPr>
            <w:tcW w:w="7528" w:type="dxa"/>
          </w:tcPr>
          <w:p w:rsidR="00E56E37" w:rsidRDefault="009851CD">
            <w:pPr>
              <w:pStyle w:val="TableParagraph"/>
              <w:spacing w:before="64" w:line="247" w:lineRule="auto"/>
              <w:ind w:left="151" w:right="373"/>
            </w:pPr>
            <w:r w:rsidRPr="00E725F2">
              <w:rPr>
                <w:highlight w:val="yellow"/>
              </w:rPr>
              <w:t>Our attendance data over the last 3 years indicates that the gap between absence among disadvantaged pupils compared to whole cohort has</w:t>
            </w:r>
            <w:r w:rsidR="003307D3" w:rsidRPr="00E725F2">
              <w:rPr>
                <w:highlight w:val="yellow"/>
              </w:rPr>
              <w:t xml:space="preserve"> been increased from 2.5% to 5.7%</w:t>
            </w:r>
            <w:r>
              <w:t xml:space="preserve"> The gap between disadvantaged pupils that have been ‘persistently absent’ compared to their peers has also increased from 6.2% to 23.8% during that period. Our assessments and observations indicate that absenteeism is negatively impacting disadvantaged pupils’ progress and the pandemic has had a significantly greater impact for these students compared to their</w:t>
            </w:r>
            <w:r>
              <w:rPr>
                <w:spacing w:val="-1"/>
              </w:rPr>
              <w:t xml:space="preserve"> </w:t>
            </w:r>
            <w:r>
              <w:t>peers.</w:t>
            </w:r>
          </w:p>
        </w:tc>
      </w:tr>
    </w:tbl>
    <w:p w:rsidR="00E56E37" w:rsidRDefault="00E56E37">
      <w:pPr>
        <w:spacing w:line="247" w:lineRule="auto"/>
        <w:sectPr w:rsidR="00E56E37">
          <w:pgSz w:w="12240" w:h="15840"/>
          <w:pgMar w:top="1000" w:right="1620" w:bottom="920" w:left="1480" w:header="0" w:footer="651" w:gutter="0"/>
          <w:cols w:space="720"/>
        </w:sectPr>
      </w:pPr>
      <w:bookmarkStart w:id="0" w:name="_GoBack"/>
      <w:bookmarkEnd w:id="0"/>
    </w:p>
    <w:p w:rsidR="00E56E37" w:rsidRDefault="009851CD">
      <w:pPr>
        <w:pStyle w:val="Heading2"/>
        <w:spacing w:before="65"/>
      </w:pPr>
      <w:r>
        <w:rPr>
          <w:color w:val="0F4F75"/>
        </w:rPr>
        <w:lastRenderedPageBreak/>
        <w:t>Intended outcomes</w:t>
      </w:r>
    </w:p>
    <w:p w:rsidR="00E56E37" w:rsidRDefault="009851CD">
      <w:pPr>
        <w:spacing w:before="234" w:line="295" w:lineRule="auto"/>
        <w:ind w:left="103" w:right="318"/>
      </w:pPr>
      <w:r>
        <w:t xml:space="preserve">This explains the outcomes we are aiming for </w:t>
      </w:r>
      <w:r>
        <w:rPr>
          <w:rFonts w:ascii="Arial"/>
          <w:b/>
        </w:rPr>
        <w:t>by the end of our current strategy plan</w:t>
      </w:r>
      <w:r>
        <w:t>, and how we will measure whether they have been achieved.</w:t>
      </w:r>
    </w:p>
    <w:p w:rsidR="00E56E37" w:rsidRDefault="00E56E37">
      <w:pPr>
        <w:pStyle w:val="BodyText"/>
        <w:spacing w:before="1"/>
        <w:rPr>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9"/>
        <w:gridCol w:w="4660"/>
      </w:tblGrid>
      <w:tr w:rsidR="00E56E37">
        <w:trPr>
          <w:trHeight w:val="371"/>
        </w:trPr>
        <w:tc>
          <w:tcPr>
            <w:tcW w:w="4259" w:type="dxa"/>
            <w:shd w:val="clear" w:color="auto" w:fill="D8E2E8"/>
          </w:tcPr>
          <w:p w:rsidR="00E56E37" w:rsidRDefault="009851CD">
            <w:pPr>
              <w:pStyle w:val="TableParagraph"/>
              <w:rPr>
                <w:rFonts w:ascii="Arial"/>
                <w:b/>
              </w:rPr>
            </w:pPr>
            <w:r>
              <w:rPr>
                <w:rFonts w:ascii="Arial"/>
                <w:b/>
                <w:color w:val="0C0C0C"/>
              </w:rPr>
              <w:t>Intended outcome</w:t>
            </w:r>
          </w:p>
        </w:tc>
        <w:tc>
          <w:tcPr>
            <w:tcW w:w="4660" w:type="dxa"/>
            <w:shd w:val="clear" w:color="auto" w:fill="D8E2E8"/>
          </w:tcPr>
          <w:p w:rsidR="00E56E37" w:rsidRDefault="009851CD">
            <w:pPr>
              <w:pStyle w:val="TableParagraph"/>
              <w:ind w:left="154"/>
              <w:rPr>
                <w:rFonts w:ascii="Arial"/>
                <w:b/>
              </w:rPr>
            </w:pPr>
            <w:r>
              <w:rPr>
                <w:rFonts w:ascii="Arial"/>
                <w:b/>
                <w:color w:val="0C0C0C"/>
              </w:rPr>
              <w:t>Success criteria</w:t>
            </w:r>
          </w:p>
        </w:tc>
      </w:tr>
      <w:tr w:rsidR="00E56E37">
        <w:trPr>
          <w:trHeight w:val="2186"/>
        </w:trPr>
        <w:tc>
          <w:tcPr>
            <w:tcW w:w="4259" w:type="dxa"/>
          </w:tcPr>
          <w:p w:rsidR="00E56E37" w:rsidRDefault="009851CD">
            <w:pPr>
              <w:pStyle w:val="TableParagraph"/>
              <w:spacing w:before="4" w:line="244" w:lineRule="auto"/>
              <w:ind w:left="102" w:right="265"/>
            </w:pPr>
            <w:r>
              <w:t>Improved attainment among disadvan- taged students across the curriculum at the end of KS4</w:t>
            </w:r>
          </w:p>
        </w:tc>
        <w:tc>
          <w:tcPr>
            <w:tcW w:w="4660" w:type="dxa"/>
          </w:tcPr>
          <w:p w:rsidR="00E56E37" w:rsidRDefault="009851CD">
            <w:pPr>
              <w:pStyle w:val="TableParagraph"/>
              <w:spacing w:before="60" w:line="247" w:lineRule="auto"/>
              <w:ind w:left="154" w:right="260"/>
            </w:pPr>
            <w:r>
              <w:t>By the end of our current plan in 2024/25, the average attainment score will increase so that the gap between attainment of disadvantaged students and non- disadvantaged students will be reduced to less than one. 2023 data showed an average attainment 8 score of 3.7 compared to 4.7 for the whole cohort.</w:t>
            </w:r>
          </w:p>
        </w:tc>
      </w:tr>
      <w:tr w:rsidR="00E56E37">
        <w:trPr>
          <w:trHeight w:val="2334"/>
        </w:trPr>
        <w:tc>
          <w:tcPr>
            <w:tcW w:w="4259" w:type="dxa"/>
          </w:tcPr>
          <w:p w:rsidR="00E56E37" w:rsidRDefault="009851CD">
            <w:pPr>
              <w:pStyle w:val="TableParagraph"/>
              <w:spacing w:before="4" w:line="247" w:lineRule="auto"/>
              <w:ind w:left="102" w:right="265"/>
            </w:pPr>
            <w:r>
              <w:t>Improved reading comprehension among disadvantaged pupils across KS3.</w:t>
            </w:r>
          </w:p>
        </w:tc>
        <w:tc>
          <w:tcPr>
            <w:tcW w:w="4660" w:type="dxa"/>
          </w:tcPr>
          <w:p w:rsidR="00E56E37" w:rsidRDefault="009851CD">
            <w:pPr>
              <w:pStyle w:val="TableParagraph"/>
              <w:spacing w:before="4" w:line="247" w:lineRule="auto"/>
              <w:ind w:left="101" w:right="56"/>
            </w:pPr>
            <w:r>
              <w:t>Reading comprehension tests demonstrate improved comprehension skills among dis- advantaged pupils and a smaller disparity between the scores of disadvantaged pupils and their non-disadvantaged peers. Teach- ers will also recognise this improvement through greater engagement in lessons and higher quality work and contribution to class</w:t>
            </w:r>
          </w:p>
          <w:p w:rsidR="00E56E37" w:rsidRDefault="009851CD">
            <w:pPr>
              <w:pStyle w:val="TableParagraph"/>
              <w:spacing w:before="0" w:line="226" w:lineRule="exact"/>
              <w:ind w:left="101"/>
            </w:pPr>
            <w:r>
              <w:t>discussion.</w:t>
            </w:r>
          </w:p>
        </w:tc>
      </w:tr>
      <w:tr w:rsidR="00E56E37">
        <w:trPr>
          <w:trHeight w:val="2300"/>
        </w:trPr>
        <w:tc>
          <w:tcPr>
            <w:tcW w:w="4259" w:type="dxa"/>
          </w:tcPr>
          <w:p w:rsidR="00E56E37" w:rsidRDefault="009851CD">
            <w:pPr>
              <w:pStyle w:val="TableParagraph"/>
              <w:spacing w:before="4" w:line="244" w:lineRule="auto"/>
              <w:ind w:left="102" w:right="265"/>
            </w:pPr>
            <w:r>
              <w:t>To achieve and sustain improved well- being for all students, including those who are disadvantaged, so that all stu- dents feel happy and safe in school.</w:t>
            </w:r>
          </w:p>
        </w:tc>
        <w:tc>
          <w:tcPr>
            <w:tcW w:w="4660" w:type="dxa"/>
          </w:tcPr>
          <w:p w:rsidR="00E56E37" w:rsidRDefault="009851CD">
            <w:pPr>
              <w:pStyle w:val="TableParagraph"/>
              <w:spacing w:line="244" w:lineRule="auto"/>
              <w:ind w:left="154"/>
            </w:pPr>
            <w:r>
              <w:t>Sustained high levels of wellbeing from 2024/25 demonstrated by: ·</w:t>
            </w:r>
          </w:p>
          <w:p w:rsidR="00E56E37" w:rsidRDefault="009851CD">
            <w:pPr>
              <w:pStyle w:val="TableParagraph"/>
              <w:spacing w:before="57" w:line="247" w:lineRule="auto"/>
              <w:ind w:left="154" w:right="260"/>
            </w:pPr>
            <w:r>
              <w:t>qualitative data from student voice, student and parent surveys and teacher observations.</w:t>
            </w:r>
          </w:p>
          <w:p w:rsidR="00E56E37" w:rsidRDefault="009851CD">
            <w:pPr>
              <w:pStyle w:val="TableParagraph"/>
              <w:spacing w:before="54" w:line="244" w:lineRule="auto"/>
              <w:ind w:left="154"/>
            </w:pPr>
            <w:r>
              <w:t>a significant increase in participation in enrichment activities, particularly among disadvantaged pupils.</w:t>
            </w:r>
          </w:p>
        </w:tc>
      </w:tr>
      <w:tr w:rsidR="00E56E37">
        <w:trPr>
          <w:trHeight w:val="3437"/>
        </w:trPr>
        <w:tc>
          <w:tcPr>
            <w:tcW w:w="4259" w:type="dxa"/>
          </w:tcPr>
          <w:p w:rsidR="00E56E37" w:rsidRDefault="009851CD">
            <w:pPr>
              <w:pStyle w:val="TableParagraph"/>
              <w:spacing w:before="6" w:line="244" w:lineRule="auto"/>
              <w:ind w:left="102" w:right="265"/>
            </w:pPr>
            <w:r>
              <w:t>To achieve and sustain improved at- tendance for all students, particularly our disadvantaged students, so that long term absence for disadvantaged students decreases.</w:t>
            </w:r>
          </w:p>
        </w:tc>
        <w:tc>
          <w:tcPr>
            <w:tcW w:w="4660" w:type="dxa"/>
          </w:tcPr>
          <w:p w:rsidR="00E56E37" w:rsidRDefault="009851CD">
            <w:pPr>
              <w:pStyle w:val="TableParagraph"/>
              <w:spacing w:before="6" w:line="244" w:lineRule="auto"/>
              <w:ind w:left="101" w:right="239"/>
            </w:pPr>
            <w:r>
              <w:t>Sustained high attendance from 2024/25 demonstrated by: the overall absence rate for</w:t>
            </w:r>
            <w:r w:rsidR="0056137B">
              <w:t xml:space="preserve"> all pupils being no more than 6</w:t>
            </w:r>
            <w:r>
              <w:t>%, and  the attendance gap between disadvantaged pupils and their non-disadvantaged peers being reduced to 2%.</w:t>
            </w:r>
            <w:r>
              <w:rPr>
                <w:spacing w:val="7"/>
              </w:rPr>
              <w:t xml:space="preserve"> </w:t>
            </w:r>
            <w:r>
              <w:t>·</w:t>
            </w:r>
          </w:p>
          <w:p w:rsidR="00E56E37" w:rsidRDefault="00E56E37">
            <w:pPr>
              <w:pStyle w:val="TableParagraph"/>
              <w:spacing w:before="6"/>
              <w:ind w:left="0"/>
              <w:rPr>
                <w:sz w:val="23"/>
              </w:rPr>
            </w:pPr>
          </w:p>
          <w:p w:rsidR="00E56E37" w:rsidRDefault="009851CD">
            <w:pPr>
              <w:pStyle w:val="TableParagraph"/>
              <w:spacing w:before="0" w:line="247" w:lineRule="auto"/>
              <w:ind w:left="101"/>
            </w:pPr>
            <w:r>
              <w:t>The percentage of all pupils who are per</w:t>
            </w:r>
            <w:r w:rsidR="0056137B">
              <w:t>sis- tently absent being below 15</w:t>
            </w:r>
            <w:r>
              <w:t>% and figure among disadvantaged pupils being no more than 3% higher than their peers.</w:t>
            </w:r>
          </w:p>
        </w:tc>
      </w:tr>
    </w:tbl>
    <w:p w:rsidR="00E56E37" w:rsidRDefault="00E56E37">
      <w:pPr>
        <w:spacing w:line="247" w:lineRule="auto"/>
        <w:sectPr w:rsidR="00E56E37">
          <w:pgSz w:w="12240" w:h="15840"/>
          <w:pgMar w:top="1000" w:right="1620" w:bottom="920" w:left="1480" w:header="0" w:footer="651" w:gutter="0"/>
          <w:cols w:space="720"/>
        </w:sectPr>
      </w:pPr>
    </w:p>
    <w:p w:rsidR="00E56E37" w:rsidRDefault="009851CD">
      <w:pPr>
        <w:pStyle w:val="Heading2"/>
        <w:spacing w:before="65"/>
      </w:pPr>
      <w:r>
        <w:rPr>
          <w:color w:val="0F4F75"/>
        </w:rPr>
        <w:lastRenderedPageBreak/>
        <w:t>Activity in this academic year</w:t>
      </w:r>
    </w:p>
    <w:p w:rsidR="00E56E37" w:rsidRDefault="009851CD">
      <w:pPr>
        <w:pStyle w:val="BodyText"/>
        <w:spacing w:before="234"/>
        <w:ind w:left="103"/>
      </w:pPr>
      <w:r>
        <w:rPr>
          <w:color w:val="0C0C0C"/>
        </w:rPr>
        <w:t>This details how we intend to spend our pupil premium (and recovery premium funding)</w:t>
      </w:r>
    </w:p>
    <w:p w:rsidR="00E56E37" w:rsidRDefault="009851CD">
      <w:pPr>
        <w:spacing w:before="59"/>
        <w:ind w:left="103"/>
      </w:pPr>
      <w:r>
        <w:rPr>
          <w:rFonts w:ascii="Arial"/>
          <w:b/>
          <w:color w:val="0C0C0C"/>
        </w:rPr>
        <w:t xml:space="preserve">this academic year </w:t>
      </w:r>
      <w:r>
        <w:rPr>
          <w:color w:val="0C0C0C"/>
        </w:rPr>
        <w:t>to address the challenges listed above.</w:t>
      </w:r>
    </w:p>
    <w:p w:rsidR="00E56E37" w:rsidRDefault="00E56E37">
      <w:pPr>
        <w:pStyle w:val="BodyText"/>
        <w:rPr>
          <w:sz w:val="24"/>
        </w:rPr>
      </w:pPr>
    </w:p>
    <w:p w:rsidR="00E56E37" w:rsidRDefault="00E56E37">
      <w:pPr>
        <w:pStyle w:val="BodyText"/>
        <w:spacing w:before="9"/>
        <w:rPr>
          <w:sz w:val="19"/>
        </w:rPr>
      </w:pPr>
    </w:p>
    <w:p w:rsidR="00E56E37" w:rsidRDefault="009851CD">
      <w:pPr>
        <w:pStyle w:val="Heading3"/>
        <w:spacing w:before="0"/>
      </w:pPr>
      <w:r>
        <w:rPr>
          <w:color w:val="0F4F75"/>
        </w:rPr>
        <w:t>Teaching (for example, CPD, recruitment and retention)</w:t>
      </w:r>
    </w:p>
    <w:p w:rsidR="00E56E37" w:rsidRDefault="009851CD">
      <w:pPr>
        <w:pStyle w:val="BodyText"/>
        <w:spacing w:before="233"/>
        <w:ind w:left="103"/>
      </w:pPr>
      <w:r>
        <w:rPr>
          <w:color w:val="0C0C0C"/>
        </w:rPr>
        <w:t>Budgeted cost: £54616</w:t>
      </w:r>
    </w:p>
    <w:p w:rsidR="00E56E37" w:rsidRDefault="00E56E37">
      <w:pPr>
        <w:pStyle w:val="BodyText"/>
        <w:spacing w:before="4"/>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3866"/>
        <w:gridCol w:w="2391"/>
      </w:tblGrid>
      <w:tr w:rsidR="00E56E37">
        <w:trPr>
          <w:trHeight w:val="890"/>
        </w:trPr>
        <w:tc>
          <w:tcPr>
            <w:tcW w:w="2660" w:type="dxa"/>
            <w:shd w:val="clear" w:color="auto" w:fill="D8E2E8"/>
          </w:tcPr>
          <w:p w:rsidR="00E56E37" w:rsidRDefault="009851CD">
            <w:pPr>
              <w:pStyle w:val="TableParagraph"/>
              <w:spacing w:before="61"/>
              <w:rPr>
                <w:rFonts w:ascii="Arial"/>
                <w:b/>
              </w:rPr>
            </w:pPr>
            <w:r>
              <w:rPr>
                <w:rFonts w:ascii="Arial"/>
                <w:b/>
                <w:color w:val="0C0C0C"/>
              </w:rPr>
              <w:t>Activity</w:t>
            </w:r>
          </w:p>
        </w:tc>
        <w:tc>
          <w:tcPr>
            <w:tcW w:w="3866" w:type="dxa"/>
            <w:shd w:val="clear" w:color="auto" w:fill="D8E2E8"/>
          </w:tcPr>
          <w:p w:rsidR="00E56E37" w:rsidRDefault="009851CD">
            <w:pPr>
              <w:pStyle w:val="TableParagraph"/>
              <w:spacing w:before="61" w:line="244" w:lineRule="auto"/>
              <w:ind w:left="157" w:right="305"/>
              <w:rPr>
                <w:rFonts w:ascii="Arial"/>
                <w:b/>
              </w:rPr>
            </w:pPr>
            <w:r>
              <w:rPr>
                <w:rFonts w:ascii="Arial"/>
                <w:b/>
                <w:color w:val="0C0C0C"/>
              </w:rPr>
              <w:t>Evidence that supports this approach</w:t>
            </w:r>
          </w:p>
        </w:tc>
        <w:tc>
          <w:tcPr>
            <w:tcW w:w="2391" w:type="dxa"/>
            <w:shd w:val="clear" w:color="auto" w:fill="D8E2E8"/>
          </w:tcPr>
          <w:p w:rsidR="00E56E37" w:rsidRDefault="009851CD">
            <w:pPr>
              <w:pStyle w:val="TableParagraph"/>
              <w:spacing w:before="61" w:line="244" w:lineRule="auto"/>
              <w:ind w:right="1096"/>
              <w:jc w:val="both"/>
              <w:rPr>
                <w:rFonts w:ascii="Arial"/>
                <w:b/>
              </w:rPr>
            </w:pPr>
            <w:r>
              <w:rPr>
                <w:rFonts w:ascii="Arial"/>
                <w:b/>
                <w:color w:val="0C0C0C"/>
              </w:rPr>
              <w:t>Challenge number(s) addressed</w:t>
            </w:r>
          </w:p>
        </w:tc>
      </w:tr>
      <w:tr w:rsidR="00E56E37">
        <w:trPr>
          <w:trHeight w:val="6226"/>
        </w:trPr>
        <w:tc>
          <w:tcPr>
            <w:tcW w:w="2660" w:type="dxa"/>
          </w:tcPr>
          <w:p w:rsidR="00E56E37" w:rsidRDefault="009851CD">
            <w:pPr>
              <w:pStyle w:val="TableParagraph"/>
              <w:spacing w:before="5" w:line="249" w:lineRule="auto"/>
              <w:ind w:left="102"/>
              <w:rPr>
                <w:sz w:val="20"/>
              </w:rPr>
            </w:pPr>
            <w:r>
              <w:rPr>
                <w:w w:val="105"/>
                <w:sz w:val="20"/>
              </w:rPr>
              <w:t>Purchase of CATs diag- nostic assessments.</w:t>
            </w:r>
          </w:p>
          <w:p w:rsidR="00E56E37" w:rsidRDefault="009851CD">
            <w:pPr>
              <w:pStyle w:val="TableParagraph"/>
              <w:spacing w:before="0" w:line="247" w:lineRule="auto"/>
              <w:ind w:left="102" w:right="107"/>
              <w:rPr>
                <w:sz w:val="20"/>
              </w:rPr>
            </w:pPr>
            <w:r>
              <w:rPr>
                <w:w w:val="105"/>
                <w:sz w:val="20"/>
              </w:rPr>
              <w:t>Training will be provided for staff to ensure assess- ments are interpreted cor- rectly and used to inform QFT.</w:t>
            </w:r>
          </w:p>
          <w:p w:rsidR="00E56E37" w:rsidRDefault="00E56E37">
            <w:pPr>
              <w:pStyle w:val="TableParagraph"/>
              <w:spacing w:before="2"/>
              <w:ind w:left="0"/>
              <w:rPr>
                <w:sz w:val="23"/>
              </w:rPr>
            </w:pPr>
          </w:p>
          <w:p w:rsidR="00E56E37" w:rsidRDefault="009851CD">
            <w:pPr>
              <w:pStyle w:val="TableParagraph"/>
              <w:spacing w:before="0" w:line="247" w:lineRule="auto"/>
              <w:ind w:left="102" w:right="107"/>
              <w:rPr>
                <w:sz w:val="20"/>
              </w:rPr>
            </w:pPr>
            <w:r>
              <w:rPr>
                <w:w w:val="105"/>
                <w:sz w:val="20"/>
              </w:rPr>
              <w:t>This information will be in- cluded in pupil profiles of disadvantaged students so that staff understand the barriers and needs more fully to better inform QFT</w:t>
            </w:r>
          </w:p>
        </w:tc>
        <w:tc>
          <w:tcPr>
            <w:tcW w:w="3866" w:type="dxa"/>
          </w:tcPr>
          <w:p w:rsidR="00E56E37" w:rsidRDefault="009851CD">
            <w:pPr>
              <w:pStyle w:val="TableParagraph"/>
              <w:spacing w:before="63" w:line="247" w:lineRule="auto"/>
              <w:ind w:left="157" w:right="305"/>
              <w:rPr>
                <w:sz w:val="20"/>
              </w:rPr>
            </w:pPr>
            <w:r>
              <w:rPr>
                <w:w w:val="105"/>
                <w:sz w:val="20"/>
              </w:rPr>
              <w:t>Standardised tests can provide reliable insights into the specific strengths and weaknesses of each pupil to help ensure they receive the correct additional support through interventions or teacher instruction:</w:t>
            </w:r>
          </w:p>
          <w:p w:rsidR="00E56E37" w:rsidRDefault="009851CD">
            <w:pPr>
              <w:pStyle w:val="TableParagraph"/>
              <w:spacing w:line="249" w:lineRule="auto"/>
              <w:ind w:left="157" w:right="169"/>
              <w:rPr>
                <w:sz w:val="20"/>
              </w:rPr>
            </w:pPr>
            <w:r>
              <w:rPr>
                <w:w w:val="105"/>
                <w:sz w:val="20"/>
              </w:rPr>
              <w:t>Standardised tests | Assessing and Monitoring Pupil Progress | Education Endowment Foundation | EEF</w:t>
            </w:r>
          </w:p>
          <w:p w:rsidR="00E56E37" w:rsidRDefault="00E56E37">
            <w:pPr>
              <w:pStyle w:val="TableParagraph"/>
              <w:spacing w:before="0"/>
              <w:ind w:left="0"/>
              <w:rPr>
                <w:sz w:val="30"/>
              </w:rPr>
            </w:pPr>
          </w:p>
          <w:p w:rsidR="00E56E37" w:rsidRDefault="009851CD">
            <w:pPr>
              <w:pStyle w:val="TableParagraph"/>
              <w:spacing w:before="0" w:line="247" w:lineRule="auto"/>
              <w:ind w:left="157" w:right="141"/>
              <w:rPr>
                <w:sz w:val="20"/>
              </w:rPr>
            </w:pPr>
            <w:r>
              <w:rPr>
                <w:color w:val="0C0C0C"/>
                <w:w w:val="105"/>
                <w:sz w:val="20"/>
              </w:rPr>
              <w:t>OFSTED Report 2014- This report (using case study evidence) stated that success was found when staff used their broad knowledge of pupils and their families to identify potential barriers to individual pupils attaining their goals and realised when talented pupils might not fulfil their potential in a particular subject or skill because of a lack of opportunities outside of school, or a lack of family finances.</w:t>
            </w:r>
          </w:p>
          <w:p w:rsidR="00E56E37" w:rsidRDefault="009851CD">
            <w:pPr>
              <w:pStyle w:val="TableParagraph"/>
              <w:spacing w:before="11" w:line="247" w:lineRule="auto"/>
              <w:ind w:left="157" w:right="188"/>
              <w:rPr>
                <w:sz w:val="20"/>
              </w:rPr>
            </w:pPr>
            <w:r>
              <w:rPr>
                <w:color w:val="0C0C0C"/>
                <w:w w:val="105"/>
                <w:sz w:val="20"/>
              </w:rPr>
              <w:t>The report stated that success was achieved when it was recognised that pupils were at risk of underachieving because of particular circumstances,</w:t>
            </w:r>
          </w:p>
        </w:tc>
        <w:tc>
          <w:tcPr>
            <w:tcW w:w="2391" w:type="dxa"/>
          </w:tcPr>
          <w:p w:rsidR="00E56E37" w:rsidRDefault="009851CD">
            <w:pPr>
              <w:pStyle w:val="TableParagraph"/>
              <w:spacing w:before="63"/>
              <w:rPr>
                <w:sz w:val="20"/>
              </w:rPr>
            </w:pPr>
            <w:r>
              <w:rPr>
                <w:color w:val="0C0C0C"/>
                <w:w w:val="105"/>
                <w:sz w:val="20"/>
              </w:rPr>
              <w:t>1, 2, 3, 4, 5</w:t>
            </w:r>
          </w:p>
        </w:tc>
      </w:tr>
      <w:tr w:rsidR="00E56E37">
        <w:trPr>
          <w:trHeight w:val="2728"/>
        </w:trPr>
        <w:tc>
          <w:tcPr>
            <w:tcW w:w="2660" w:type="dxa"/>
          </w:tcPr>
          <w:p w:rsidR="00E56E37" w:rsidRDefault="009851CD">
            <w:pPr>
              <w:pStyle w:val="TableParagraph"/>
              <w:spacing w:before="64" w:line="247" w:lineRule="auto"/>
              <w:ind w:left="102" w:right="108"/>
              <w:rPr>
                <w:sz w:val="20"/>
              </w:rPr>
            </w:pPr>
            <w:r>
              <w:rPr>
                <w:color w:val="0C0C0C"/>
                <w:w w:val="105"/>
                <w:sz w:val="20"/>
              </w:rPr>
              <w:t xml:space="preserve">Increase the number of groups in the core subjects from 5 to 6 for each year group to </w:t>
            </w:r>
            <w:r>
              <w:rPr>
                <w:color w:val="0C0C0C"/>
                <w:spacing w:val="-3"/>
                <w:w w:val="105"/>
                <w:sz w:val="20"/>
              </w:rPr>
              <w:t xml:space="preserve">enable </w:t>
            </w:r>
            <w:r>
              <w:rPr>
                <w:color w:val="0C0C0C"/>
                <w:w w:val="105"/>
                <w:sz w:val="20"/>
              </w:rPr>
              <w:t>smaller class sizes for those students with low prior attainment so that the teacher can employ a wider range of strategies and provide more extensive feedback.</w:t>
            </w:r>
          </w:p>
        </w:tc>
        <w:tc>
          <w:tcPr>
            <w:tcW w:w="3866" w:type="dxa"/>
          </w:tcPr>
          <w:p w:rsidR="00E56E37" w:rsidRDefault="009851CD">
            <w:pPr>
              <w:pStyle w:val="TableParagraph"/>
              <w:spacing w:before="64" w:line="247" w:lineRule="auto"/>
              <w:ind w:left="157" w:right="106"/>
              <w:rPr>
                <w:sz w:val="20"/>
              </w:rPr>
            </w:pPr>
            <w:r>
              <w:rPr>
                <w:color w:val="0C0C0C"/>
                <w:w w:val="105"/>
                <w:sz w:val="20"/>
              </w:rPr>
              <w:t>Evidence suggests that reducing class sizes to below 20 has benefits on attainment as well as improved behaviour and attitude.</w:t>
            </w:r>
          </w:p>
          <w:p w:rsidR="00E56E37" w:rsidRDefault="00E56E37">
            <w:pPr>
              <w:pStyle w:val="TableParagraph"/>
              <w:spacing w:before="8"/>
              <w:ind w:left="0"/>
              <w:rPr>
                <w:sz w:val="30"/>
              </w:rPr>
            </w:pPr>
          </w:p>
          <w:p w:rsidR="00E56E37" w:rsidRDefault="009851CD">
            <w:pPr>
              <w:pStyle w:val="TableParagraph"/>
              <w:spacing w:before="0"/>
              <w:ind w:left="157"/>
              <w:rPr>
                <w:sz w:val="20"/>
              </w:rPr>
            </w:pPr>
            <w:r>
              <w:rPr>
                <w:color w:val="0C0C0C"/>
                <w:w w:val="105"/>
                <w:sz w:val="20"/>
              </w:rPr>
              <w:t>Reducing class size, EEF</w:t>
            </w:r>
          </w:p>
        </w:tc>
        <w:tc>
          <w:tcPr>
            <w:tcW w:w="2391" w:type="dxa"/>
          </w:tcPr>
          <w:p w:rsidR="00E56E37" w:rsidRDefault="009851CD">
            <w:pPr>
              <w:pStyle w:val="TableParagraph"/>
              <w:spacing w:before="64"/>
              <w:rPr>
                <w:sz w:val="20"/>
              </w:rPr>
            </w:pPr>
            <w:r>
              <w:rPr>
                <w:color w:val="0C0C0C"/>
                <w:w w:val="105"/>
                <w:sz w:val="20"/>
              </w:rPr>
              <w:t>1, 2,</w:t>
            </w:r>
          </w:p>
        </w:tc>
      </w:tr>
      <w:tr w:rsidR="00E56E37">
        <w:trPr>
          <w:trHeight w:val="826"/>
        </w:trPr>
        <w:tc>
          <w:tcPr>
            <w:tcW w:w="2660" w:type="dxa"/>
          </w:tcPr>
          <w:p w:rsidR="00E56E37" w:rsidRDefault="009851CD">
            <w:pPr>
              <w:pStyle w:val="TableParagraph"/>
              <w:spacing w:line="247" w:lineRule="auto"/>
              <w:rPr>
                <w:sz w:val="20"/>
              </w:rPr>
            </w:pPr>
            <w:r>
              <w:rPr>
                <w:color w:val="0C0C0C"/>
                <w:w w:val="105"/>
                <w:sz w:val="20"/>
              </w:rPr>
              <w:t>Provide support to complete homework through:</w:t>
            </w:r>
          </w:p>
        </w:tc>
        <w:tc>
          <w:tcPr>
            <w:tcW w:w="3866" w:type="dxa"/>
          </w:tcPr>
          <w:p w:rsidR="00E56E37" w:rsidRDefault="009851CD">
            <w:pPr>
              <w:pStyle w:val="TableParagraph"/>
              <w:spacing w:line="247" w:lineRule="auto"/>
              <w:ind w:left="157" w:right="167"/>
              <w:jc w:val="both"/>
              <w:rPr>
                <w:sz w:val="20"/>
              </w:rPr>
            </w:pPr>
            <w:r>
              <w:rPr>
                <w:color w:val="545454"/>
                <w:w w:val="105"/>
                <w:sz w:val="20"/>
              </w:rPr>
              <w:t>The</w:t>
            </w:r>
            <w:r>
              <w:rPr>
                <w:color w:val="545454"/>
                <w:spacing w:val="-9"/>
                <w:w w:val="105"/>
                <w:sz w:val="20"/>
              </w:rPr>
              <w:t xml:space="preserve"> </w:t>
            </w:r>
            <w:r>
              <w:rPr>
                <w:color w:val="545454"/>
                <w:w w:val="105"/>
                <w:sz w:val="20"/>
              </w:rPr>
              <w:t>evidence</w:t>
            </w:r>
            <w:r>
              <w:rPr>
                <w:color w:val="545454"/>
                <w:spacing w:val="-12"/>
                <w:w w:val="105"/>
                <w:sz w:val="20"/>
              </w:rPr>
              <w:t xml:space="preserve"> </w:t>
            </w:r>
            <w:r>
              <w:rPr>
                <w:color w:val="545454"/>
                <w:w w:val="105"/>
                <w:sz w:val="20"/>
              </w:rPr>
              <w:t>shows</w:t>
            </w:r>
            <w:r>
              <w:rPr>
                <w:color w:val="545454"/>
                <w:spacing w:val="-12"/>
                <w:w w:val="105"/>
                <w:sz w:val="20"/>
              </w:rPr>
              <w:t xml:space="preserve"> </w:t>
            </w:r>
            <w:r>
              <w:rPr>
                <w:color w:val="545454"/>
                <w:w w:val="105"/>
                <w:sz w:val="20"/>
              </w:rPr>
              <w:t>that</w:t>
            </w:r>
            <w:r>
              <w:rPr>
                <w:color w:val="545454"/>
                <w:spacing w:val="-12"/>
                <w:w w:val="105"/>
                <w:sz w:val="20"/>
              </w:rPr>
              <w:t xml:space="preserve"> </w:t>
            </w:r>
            <w:r>
              <w:rPr>
                <w:color w:val="545454"/>
                <w:w w:val="105"/>
                <w:sz w:val="20"/>
              </w:rPr>
              <w:t>the</w:t>
            </w:r>
            <w:r>
              <w:rPr>
                <w:color w:val="545454"/>
                <w:spacing w:val="-12"/>
                <w:w w:val="105"/>
                <w:sz w:val="20"/>
              </w:rPr>
              <w:t xml:space="preserve"> </w:t>
            </w:r>
            <w:r>
              <w:rPr>
                <w:color w:val="545454"/>
                <w:w w:val="105"/>
                <w:sz w:val="20"/>
              </w:rPr>
              <w:t>impact</w:t>
            </w:r>
            <w:r>
              <w:rPr>
                <w:color w:val="545454"/>
                <w:spacing w:val="-11"/>
                <w:w w:val="105"/>
                <w:sz w:val="20"/>
              </w:rPr>
              <w:t xml:space="preserve"> </w:t>
            </w:r>
            <w:r>
              <w:rPr>
                <w:color w:val="545454"/>
                <w:w w:val="105"/>
                <w:sz w:val="20"/>
              </w:rPr>
              <w:t>of homework,</w:t>
            </w:r>
            <w:r>
              <w:rPr>
                <w:color w:val="545454"/>
                <w:spacing w:val="-12"/>
                <w:w w:val="105"/>
                <w:sz w:val="20"/>
              </w:rPr>
              <w:t xml:space="preserve"> </w:t>
            </w:r>
            <w:r>
              <w:rPr>
                <w:color w:val="545454"/>
                <w:w w:val="105"/>
                <w:sz w:val="20"/>
              </w:rPr>
              <w:t>on</w:t>
            </w:r>
            <w:r>
              <w:rPr>
                <w:color w:val="545454"/>
                <w:spacing w:val="-11"/>
                <w:w w:val="105"/>
                <w:sz w:val="20"/>
              </w:rPr>
              <w:t xml:space="preserve"> </w:t>
            </w:r>
            <w:r>
              <w:rPr>
                <w:color w:val="545454"/>
                <w:w w:val="105"/>
                <w:sz w:val="20"/>
              </w:rPr>
              <w:t>average,</w:t>
            </w:r>
            <w:r>
              <w:rPr>
                <w:color w:val="545454"/>
                <w:spacing w:val="-15"/>
                <w:w w:val="105"/>
                <w:sz w:val="20"/>
              </w:rPr>
              <w:t xml:space="preserve"> </w:t>
            </w:r>
            <w:r>
              <w:rPr>
                <w:color w:val="545454"/>
                <w:w w:val="105"/>
                <w:sz w:val="20"/>
              </w:rPr>
              <w:t>is</w:t>
            </w:r>
            <w:r>
              <w:rPr>
                <w:color w:val="545454"/>
                <w:spacing w:val="-11"/>
                <w:w w:val="105"/>
                <w:sz w:val="20"/>
              </w:rPr>
              <w:t xml:space="preserve"> </w:t>
            </w:r>
            <w:r>
              <w:rPr>
                <w:color w:val="545454"/>
                <w:w w:val="105"/>
                <w:sz w:val="20"/>
              </w:rPr>
              <w:t>five</w:t>
            </w:r>
            <w:r>
              <w:rPr>
                <w:color w:val="545454"/>
                <w:spacing w:val="-16"/>
                <w:w w:val="105"/>
                <w:sz w:val="20"/>
              </w:rPr>
              <w:t xml:space="preserve"> </w:t>
            </w:r>
            <w:r>
              <w:rPr>
                <w:color w:val="545454"/>
                <w:w w:val="105"/>
                <w:sz w:val="20"/>
              </w:rPr>
              <w:t>months’ additional progress.</w:t>
            </w:r>
          </w:p>
        </w:tc>
        <w:tc>
          <w:tcPr>
            <w:tcW w:w="2391" w:type="dxa"/>
          </w:tcPr>
          <w:p w:rsidR="00E56E37" w:rsidRDefault="009851CD">
            <w:pPr>
              <w:pStyle w:val="TableParagraph"/>
              <w:rPr>
                <w:sz w:val="20"/>
              </w:rPr>
            </w:pPr>
            <w:r>
              <w:rPr>
                <w:color w:val="0C0C0C"/>
                <w:w w:val="105"/>
                <w:sz w:val="20"/>
              </w:rPr>
              <w:t>1, 2,</w:t>
            </w:r>
          </w:p>
        </w:tc>
      </w:tr>
    </w:tbl>
    <w:p w:rsidR="00E56E37" w:rsidRDefault="00E56E37">
      <w:pPr>
        <w:rPr>
          <w:sz w:val="20"/>
        </w:rPr>
        <w:sectPr w:rsidR="00E56E37">
          <w:pgSz w:w="12240" w:h="15840"/>
          <w:pgMar w:top="1000" w:right="1620" w:bottom="920" w:left="1480" w:header="0" w:footer="65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3866"/>
        <w:gridCol w:w="2391"/>
      </w:tblGrid>
      <w:tr w:rsidR="00E56E37">
        <w:trPr>
          <w:trHeight w:val="741"/>
        </w:trPr>
        <w:tc>
          <w:tcPr>
            <w:tcW w:w="2660" w:type="dxa"/>
            <w:tcBorders>
              <w:bottom w:val="nil"/>
            </w:tcBorders>
          </w:tcPr>
          <w:p w:rsidR="00E56E37" w:rsidRDefault="009851CD">
            <w:pPr>
              <w:pStyle w:val="TableParagraph"/>
              <w:spacing w:before="8" w:line="247" w:lineRule="auto"/>
              <w:ind w:right="150"/>
              <w:rPr>
                <w:sz w:val="20"/>
              </w:rPr>
            </w:pPr>
            <w:r>
              <w:rPr>
                <w:color w:val="0C0C0C"/>
                <w:w w:val="105"/>
                <w:sz w:val="20"/>
              </w:rPr>
              <w:lastRenderedPageBreak/>
              <w:t>Access to library and on- line resources after school</w:t>
            </w:r>
          </w:p>
        </w:tc>
        <w:tc>
          <w:tcPr>
            <w:tcW w:w="3866" w:type="dxa"/>
            <w:tcBorders>
              <w:bottom w:val="nil"/>
            </w:tcBorders>
          </w:tcPr>
          <w:p w:rsidR="00E56E37" w:rsidRDefault="00E56E37">
            <w:pPr>
              <w:pStyle w:val="TableParagraph"/>
              <w:spacing w:before="1"/>
              <w:ind w:left="0"/>
              <w:rPr>
                <w:sz w:val="26"/>
              </w:rPr>
            </w:pPr>
          </w:p>
          <w:p w:rsidR="00E56E37" w:rsidRDefault="009851CD">
            <w:pPr>
              <w:pStyle w:val="TableParagraph"/>
              <w:spacing w:before="0"/>
              <w:ind w:left="157"/>
              <w:rPr>
                <w:sz w:val="20"/>
              </w:rPr>
            </w:pPr>
            <w:r>
              <w:rPr>
                <w:color w:val="0C0C0C"/>
                <w:w w:val="105"/>
                <w:sz w:val="20"/>
              </w:rPr>
              <w:t>Homework, EEF</w:t>
            </w:r>
          </w:p>
        </w:tc>
        <w:tc>
          <w:tcPr>
            <w:tcW w:w="2391" w:type="dxa"/>
            <w:vMerge w:val="restart"/>
          </w:tcPr>
          <w:p w:rsidR="00E56E37" w:rsidRDefault="00E56E37">
            <w:pPr>
              <w:pStyle w:val="TableParagraph"/>
              <w:spacing w:before="0"/>
              <w:ind w:left="0"/>
              <w:rPr>
                <w:rFonts w:ascii="Times New Roman"/>
                <w:sz w:val="20"/>
              </w:rPr>
            </w:pPr>
          </w:p>
        </w:tc>
      </w:tr>
      <w:tr w:rsidR="00E56E37">
        <w:trPr>
          <w:trHeight w:val="2566"/>
        </w:trPr>
        <w:tc>
          <w:tcPr>
            <w:tcW w:w="2660" w:type="dxa"/>
            <w:tcBorders>
              <w:top w:val="nil"/>
            </w:tcBorders>
          </w:tcPr>
          <w:p w:rsidR="00E56E37" w:rsidRDefault="009851CD">
            <w:pPr>
              <w:pStyle w:val="TableParagraph"/>
              <w:spacing w:before="27" w:line="244" w:lineRule="auto"/>
              <w:ind w:right="107"/>
              <w:rPr>
                <w:sz w:val="20"/>
              </w:rPr>
            </w:pPr>
            <w:r>
              <w:rPr>
                <w:color w:val="0C0C0C"/>
                <w:w w:val="105"/>
                <w:sz w:val="20"/>
              </w:rPr>
              <w:t>CPD investigating quality of homework</w:t>
            </w:r>
          </w:p>
          <w:p w:rsidR="00E56E37" w:rsidRDefault="009851CD">
            <w:pPr>
              <w:pStyle w:val="TableParagraph"/>
              <w:spacing w:before="63" w:line="244" w:lineRule="auto"/>
              <w:rPr>
                <w:sz w:val="20"/>
              </w:rPr>
            </w:pPr>
            <w:r>
              <w:rPr>
                <w:color w:val="0C0C0C"/>
                <w:w w:val="105"/>
                <w:sz w:val="20"/>
              </w:rPr>
              <w:t>Knowledge organisers available on-line</w:t>
            </w:r>
          </w:p>
          <w:p w:rsidR="00E56E37" w:rsidRDefault="009851CD">
            <w:pPr>
              <w:pStyle w:val="TableParagraph"/>
              <w:spacing w:before="61" w:line="249" w:lineRule="auto"/>
              <w:ind w:right="117"/>
              <w:rPr>
                <w:sz w:val="20"/>
              </w:rPr>
            </w:pPr>
            <w:r>
              <w:rPr>
                <w:color w:val="0C0C0C"/>
                <w:w w:val="105"/>
                <w:sz w:val="20"/>
              </w:rPr>
              <w:t>Laptops provided to disadvantaged students to enable them to work at home.</w:t>
            </w:r>
          </w:p>
        </w:tc>
        <w:tc>
          <w:tcPr>
            <w:tcW w:w="3866" w:type="dxa"/>
            <w:tcBorders>
              <w:top w:val="nil"/>
            </w:tcBorders>
          </w:tcPr>
          <w:p w:rsidR="00E56E37" w:rsidRDefault="009851CD">
            <w:pPr>
              <w:pStyle w:val="TableParagraph"/>
              <w:spacing w:before="139" w:line="247" w:lineRule="auto"/>
              <w:ind w:left="157" w:right="83"/>
              <w:rPr>
                <w:sz w:val="20"/>
              </w:rPr>
            </w:pPr>
            <w:r>
              <w:rPr>
                <w:color w:val="0C0C0C"/>
                <w:w w:val="105"/>
                <w:sz w:val="20"/>
              </w:rPr>
              <w:t>The EEF suggests that for many pupil premium students, the provision of space and resources for them to complete work can have tangible benefits. The EEF also reports that the deployment of Teaching Assistants is pivotal to improving progress, and the most effective way is where they are delivering intervention to small groups or individuals.</w:t>
            </w:r>
          </w:p>
        </w:tc>
        <w:tc>
          <w:tcPr>
            <w:tcW w:w="2391" w:type="dxa"/>
            <w:vMerge/>
            <w:tcBorders>
              <w:top w:val="nil"/>
            </w:tcBorders>
          </w:tcPr>
          <w:p w:rsidR="00E56E37" w:rsidRDefault="00E56E37">
            <w:pPr>
              <w:rPr>
                <w:sz w:val="2"/>
                <w:szCs w:val="2"/>
              </w:rPr>
            </w:pPr>
          </w:p>
        </w:tc>
      </w:tr>
      <w:tr w:rsidR="00E56E37">
        <w:trPr>
          <w:trHeight w:val="4031"/>
        </w:trPr>
        <w:tc>
          <w:tcPr>
            <w:tcW w:w="2660" w:type="dxa"/>
          </w:tcPr>
          <w:p w:rsidR="00E56E37" w:rsidRDefault="009851CD">
            <w:pPr>
              <w:pStyle w:val="TableParagraph"/>
              <w:spacing w:line="247" w:lineRule="auto"/>
              <w:ind w:right="241"/>
              <w:rPr>
                <w:sz w:val="20"/>
              </w:rPr>
            </w:pPr>
            <w:r>
              <w:rPr>
                <w:color w:val="0C0C0C"/>
                <w:w w:val="105"/>
                <w:sz w:val="20"/>
              </w:rPr>
              <w:t>CPD Research Projects will focus on quality first teaching. Teachers will investigate different themes and then share good practice. This will be led by the Challenge Co-ordinators.</w:t>
            </w:r>
          </w:p>
        </w:tc>
        <w:tc>
          <w:tcPr>
            <w:tcW w:w="3866" w:type="dxa"/>
          </w:tcPr>
          <w:p w:rsidR="00E56E37" w:rsidRDefault="009851CD">
            <w:pPr>
              <w:pStyle w:val="TableParagraph"/>
              <w:spacing w:line="249" w:lineRule="auto"/>
              <w:ind w:left="157" w:right="246"/>
              <w:rPr>
                <w:sz w:val="20"/>
              </w:rPr>
            </w:pPr>
            <w:r>
              <w:rPr>
                <w:color w:val="0C0C0C"/>
                <w:w w:val="105"/>
                <w:sz w:val="20"/>
              </w:rPr>
              <w:t>The EEF (Education Endowment Foundation) repeatedly point out that ‘quality first teaching’ helps every child, including those who are pupil premium.</w:t>
            </w:r>
          </w:p>
          <w:p w:rsidR="00E56E37" w:rsidRDefault="009851CD">
            <w:pPr>
              <w:pStyle w:val="TableParagraph"/>
              <w:spacing w:before="49" w:line="249" w:lineRule="auto"/>
              <w:ind w:left="157" w:right="235"/>
              <w:rPr>
                <w:sz w:val="20"/>
              </w:rPr>
            </w:pPr>
            <w:r>
              <w:rPr>
                <w:color w:val="0C0C0C"/>
                <w:w w:val="105"/>
                <w:sz w:val="20"/>
              </w:rPr>
              <w:t>Specifically, the EEF report that high quality individual feedback is extremely effective, alongside developing effective metacognition in the classroom.</w:t>
            </w:r>
          </w:p>
          <w:p w:rsidR="00E56E37" w:rsidRDefault="009851CD">
            <w:pPr>
              <w:pStyle w:val="TableParagraph"/>
              <w:spacing w:before="50" w:line="247" w:lineRule="auto"/>
              <w:ind w:left="157" w:right="258"/>
              <w:rPr>
                <w:sz w:val="20"/>
              </w:rPr>
            </w:pPr>
            <w:r>
              <w:rPr>
                <w:color w:val="0C0C0C"/>
                <w:w w:val="105"/>
                <w:sz w:val="20"/>
              </w:rPr>
              <w:t>There is strong evidence that “what happens in the classroom makes the biggest difference, good teaching for all pupils has a particular benefit for disadvantaged students” (EEF Attainment Gap Report 2018).</w:t>
            </w:r>
          </w:p>
        </w:tc>
        <w:tc>
          <w:tcPr>
            <w:tcW w:w="2391" w:type="dxa"/>
          </w:tcPr>
          <w:p w:rsidR="00E56E37" w:rsidRDefault="009851CD">
            <w:pPr>
              <w:pStyle w:val="TableParagraph"/>
              <w:rPr>
                <w:sz w:val="20"/>
              </w:rPr>
            </w:pPr>
            <w:r>
              <w:rPr>
                <w:color w:val="0C0C0C"/>
                <w:w w:val="105"/>
                <w:sz w:val="20"/>
              </w:rPr>
              <w:t>1, 2, 3</w:t>
            </w:r>
          </w:p>
        </w:tc>
      </w:tr>
      <w:tr w:rsidR="00E56E37">
        <w:trPr>
          <w:trHeight w:val="2601"/>
        </w:trPr>
        <w:tc>
          <w:tcPr>
            <w:tcW w:w="2660" w:type="dxa"/>
          </w:tcPr>
          <w:p w:rsidR="00E56E37" w:rsidRDefault="009851CD">
            <w:pPr>
              <w:pStyle w:val="TableParagraph"/>
              <w:spacing w:line="247" w:lineRule="auto"/>
              <w:ind w:right="150"/>
              <w:rPr>
                <w:sz w:val="20"/>
              </w:rPr>
            </w:pPr>
            <w:r>
              <w:rPr>
                <w:color w:val="0C0C0C"/>
                <w:w w:val="105"/>
                <w:sz w:val="20"/>
              </w:rPr>
              <w:t>Reading is included in the curriculum for years</w:t>
            </w:r>
            <w:r>
              <w:rPr>
                <w:color w:val="0C0C0C"/>
                <w:spacing w:val="-45"/>
                <w:w w:val="105"/>
                <w:sz w:val="20"/>
              </w:rPr>
              <w:t xml:space="preserve"> </w:t>
            </w:r>
            <w:r>
              <w:rPr>
                <w:color w:val="0C0C0C"/>
                <w:w w:val="105"/>
                <w:sz w:val="20"/>
              </w:rPr>
              <w:t>7 and 8 for two hours per week.</w:t>
            </w:r>
          </w:p>
          <w:p w:rsidR="00E56E37" w:rsidRDefault="00E56E37">
            <w:pPr>
              <w:pStyle w:val="TableParagraph"/>
              <w:spacing w:before="8"/>
              <w:ind w:left="0"/>
              <w:rPr>
                <w:sz w:val="30"/>
              </w:rPr>
            </w:pPr>
          </w:p>
          <w:p w:rsidR="00E56E37" w:rsidRDefault="009851CD">
            <w:pPr>
              <w:pStyle w:val="TableParagraph"/>
              <w:spacing w:before="0" w:line="247" w:lineRule="auto"/>
              <w:ind w:right="241"/>
              <w:rPr>
                <w:sz w:val="20"/>
              </w:rPr>
            </w:pPr>
            <w:r>
              <w:rPr>
                <w:color w:val="0C0C0C"/>
                <w:w w:val="105"/>
                <w:sz w:val="20"/>
              </w:rPr>
              <w:t>The programme will include external providers to stimulate and extend creative writing,</w:t>
            </w:r>
          </w:p>
        </w:tc>
        <w:tc>
          <w:tcPr>
            <w:tcW w:w="3866" w:type="dxa"/>
          </w:tcPr>
          <w:p w:rsidR="00E56E37" w:rsidRDefault="009851CD">
            <w:pPr>
              <w:pStyle w:val="TableParagraph"/>
              <w:spacing w:line="247" w:lineRule="auto"/>
              <w:ind w:left="157" w:right="176"/>
              <w:rPr>
                <w:sz w:val="20"/>
              </w:rPr>
            </w:pPr>
            <w:r>
              <w:rPr>
                <w:color w:val="0C0C0C"/>
                <w:w w:val="105"/>
                <w:sz w:val="20"/>
              </w:rPr>
              <w:t>The EEF report that the improvement in reading comprehension can have a high impact for moderate cost when money is invested, with 6-month average progress for a given intervention.</w:t>
            </w:r>
          </w:p>
        </w:tc>
        <w:tc>
          <w:tcPr>
            <w:tcW w:w="2391" w:type="dxa"/>
          </w:tcPr>
          <w:p w:rsidR="00E56E37" w:rsidRDefault="009851CD">
            <w:pPr>
              <w:pStyle w:val="TableParagraph"/>
              <w:rPr>
                <w:sz w:val="20"/>
              </w:rPr>
            </w:pPr>
            <w:r>
              <w:rPr>
                <w:color w:val="0C0C0C"/>
                <w:w w:val="103"/>
                <w:sz w:val="20"/>
              </w:rPr>
              <w:t>2</w:t>
            </w:r>
          </w:p>
        </w:tc>
      </w:tr>
    </w:tbl>
    <w:p w:rsidR="00E56E37" w:rsidRDefault="00E56E37">
      <w:pPr>
        <w:pStyle w:val="BodyText"/>
        <w:spacing w:before="5"/>
        <w:rPr>
          <w:sz w:val="24"/>
        </w:rPr>
      </w:pPr>
    </w:p>
    <w:p w:rsidR="00E56E37" w:rsidRDefault="009851CD">
      <w:pPr>
        <w:pStyle w:val="Heading3"/>
        <w:spacing w:line="290" w:lineRule="auto"/>
      </w:pPr>
      <w:r>
        <w:rPr>
          <w:color w:val="0F4F75"/>
        </w:rPr>
        <w:t>Targeted academic support (for example, tutoring, one-to-one support structured interventions)</w:t>
      </w:r>
    </w:p>
    <w:p w:rsidR="00E56E37" w:rsidRDefault="009851CD">
      <w:pPr>
        <w:pStyle w:val="BodyText"/>
        <w:spacing w:before="231"/>
        <w:ind w:left="103"/>
      </w:pPr>
      <w:r>
        <w:rPr>
          <w:color w:val="0C0C0C"/>
        </w:rPr>
        <w:t>Budgeted cost: £75 600</w:t>
      </w:r>
    </w:p>
    <w:p w:rsidR="00E56E37" w:rsidRDefault="00E56E37">
      <w:pPr>
        <w:pStyle w:val="BodyText"/>
        <w:spacing w:before="3"/>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4644"/>
        <w:gridCol w:w="1482"/>
      </w:tblGrid>
      <w:tr w:rsidR="00E56E37">
        <w:trPr>
          <w:trHeight w:val="890"/>
        </w:trPr>
        <w:tc>
          <w:tcPr>
            <w:tcW w:w="2792" w:type="dxa"/>
            <w:shd w:val="clear" w:color="auto" w:fill="D8E2E8"/>
          </w:tcPr>
          <w:p w:rsidR="00E56E37" w:rsidRDefault="009851CD">
            <w:pPr>
              <w:pStyle w:val="TableParagraph"/>
              <w:spacing w:before="61"/>
              <w:rPr>
                <w:rFonts w:ascii="Arial"/>
                <w:b/>
              </w:rPr>
            </w:pPr>
            <w:r>
              <w:rPr>
                <w:rFonts w:ascii="Arial"/>
                <w:b/>
                <w:color w:val="0C0C0C"/>
              </w:rPr>
              <w:t>Activity</w:t>
            </w:r>
          </w:p>
        </w:tc>
        <w:tc>
          <w:tcPr>
            <w:tcW w:w="4644" w:type="dxa"/>
            <w:shd w:val="clear" w:color="auto" w:fill="D8E2E8"/>
          </w:tcPr>
          <w:p w:rsidR="00E56E37" w:rsidRDefault="009851CD">
            <w:pPr>
              <w:pStyle w:val="TableParagraph"/>
              <w:spacing w:before="61"/>
              <w:ind w:left="157"/>
              <w:rPr>
                <w:rFonts w:ascii="Arial"/>
                <w:b/>
              </w:rPr>
            </w:pPr>
            <w:r>
              <w:rPr>
                <w:rFonts w:ascii="Arial"/>
                <w:b/>
                <w:color w:val="0C0C0C"/>
              </w:rPr>
              <w:t>Evidence that supports this approach</w:t>
            </w:r>
          </w:p>
        </w:tc>
        <w:tc>
          <w:tcPr>
            <w:tcW w:w="1482" w:type="dxa"/>
            <w:shd w:val="clear" w:color="auto" w:fill="D8E2E8"/>
          </w:tcPr>
          <w:p w:rsidR="00E56E37" w:rsidRDefault="009851CD">
            <w:pPr>
              <w:pStyle w:val="TableParagraph"/>
              <w:spacing w:before="61" w:line="244" w:lineRule="auto"/>
              <w:ind w:left="157" w:right="185"/>
              <w:jc w:val="both"/>
              <w:rPr>
                <w:rFonts w:ascii="Arial"/>
                <w:b/>
              </w:rPr>
            </w:pPr>
            <w:r>
              <w:rPr>
                <w:rFonts w:ascii="Arial"/>
                <w:b/>
                <w:color w:val="0C0C0C"/>
              </w:rPr>
              <w:t>Challenge number(s) addressed</w:t>
            </w:r>
          </w:p>
        </w:tc>
      </w:tr>
      <w:tr w:rsidR="00E56E37">
        <w:trPr>
          <w:trHeight w:val="826"/>
        </w:trPr>
        <w:tc>
          <w:tcPr>
            <w:tcW w:w="2792" w:type="dxa"/>
          </w:tcPr>
          <w:p w:rsidR="00E56E37" w:rsidRDefault="009851CD">
            <w:pPr>
              <w:pStyle w:val="TableParagraph"/>
              <w:spacing w:before="63" w:line="247" w:lineRule="auto"/>
              <w:rPr>
                <w:sz w:val="20"/>
              </w:rPr>
            </w:pPr>
            <w:r>
              <w:rPr>
                <w:color w:val="0C0C0C"/>
                <w:w w:val="105"/>
                <w:sz w:val="20"/>
              </w:rPr>
              <w:t>To improve the academic outcomes for year 11 students through:</w:t>
            </w:r>
          </w:p>
        </w:tc>
        <w:tc>
          <w:tcPr>
            <w:tcW w:w="4644" w:type="dxa"/>
          </w:tcPr>
          <w:p w:rsidR="00E56E37" w:rsidRDefault="009851CD">
            <w:pPr>
              <w:pStyle w:val="TableParagraph"/>
              <w:spacing w:before="63" w:line="247" w:lineRule="auto"/>
              <w:ind w:left="157" w:right="161"/>
              <w:rPr>
                <w:sz w:val="20"/>
              </w:rPr>
            </w:pPr>
            <w:r>
              <w:rPr>
                <w:color w:val="0C0C0C"/>
                <w:w w:val="105"/>
                <w:sz w:val="20"/>
              </w:rPr>
              <w:t>The EEF report that one to one tuition can have a moderate impact when there are short, regular sessions. The report suggests that</w:t>
            </w:r>
          </w:p>
        </w:tc>
        <w:tc>
          <w:tcPr>
            <w:tcW w:w="1482" w:type="dxa"/>
          </w:tcPr>
          <w:p w:rsidR="00E56E37" w:rsidRDefault="009851CD">
            <w:pPr>
              <w:pStyle w:val="TableParagraph"/>
              <w:spacing w:before="63"/>
              <w:ind w:left="157"/>
              <w:rPr>
                <w:sz w:val="20"/>
              </w:rPr>
            </w:pPr>
            <w:r>
              <w:rPr>
                <w:color w:val="0C0C0C"/>
                <w:w w:val="105"/>
                <w:sz w:val="20"/>
              </w:rPr>
              <w:t>1, 3</w:t>
            </w:r>
          </w:p>
        </w:tc>
      </w:tr>
    </w:tbl>
    <w:p w:rsidR="00E56E37" w:rsidRDefault="00E56E37">
      <w:pPr>
        <w:rPr>
          <w:sz w:val="20"/>
        </w:rPr>
        <w:sectPr w:rsidR="00E56E37">
          <w:pgSz w:w="12240" w:h="15840"/>
          <w:pgMar w:top="1060" w:right="1620" w:bottom="920" w:left="1480" w:header="0" w:footer="651"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4644"/>
        <w:gridCol w:w="1482"/>
      </w:tblGrid>
      <w:tr w:rsidR="00E56E37">
        <w:trPr>
          <w:trHeight w:val="4506"/>
        </w:trPr>
        <w:tc>
          <w:tcPr>
            <w:tcW w:w="2792" w:type="dxa"/>
          </w:tcPr>
          <w:p w:rsidR="00E56E37" w:rsidRDefault="0056137B">
            <w:pPr>
              <w:pStyle w:val="TableParagraph"/>
              <w:spacing w:before="8" w:line="247" w:lineRule="auto"/>
              <w:ind w:right="172"/>
              <w:rPr>
                <w:sz w:val="20"/>
              </w:rPr>
            </w:pPr>
            <w:r>
              <w:rPr>
                <w:color w:val="0C0C0C"/>
                <w:w w:val="105"/>
                <w:sz w:val="20"/>
              </w:rPr>
              <w:lastRenderedPageBreak/>
              <w:t>Masterclasses delivered by specialist teachers in school for Y11.</w:t>
            </w:r>
          </w:p>
          <w:p w:rsidR="00E56E37" w:rsidRDefault="009851CD">
            <w:pPr>
              <w:pStyle w:val="TableParagraph"/>
              <w:spacing w:before="64" w:line="249" w:lineRule="auto"/>
              <w:ind w:right="172"/>
              <w:rPr>
                <w:sz w:val="20"/>
              </w:rPr>
            </w:pPr>
            <w:r>
              <w:rPr>
                <w:color w:val="0C0C0C"/>
                <w:w w:val="105"/>
                <w:sz w:val="20"/>
              </w:rPr>
              <w:t>Subject specific intervention during February half term and Easter.</w:t>
            </w:r>
          </w:p>
          <w:p w:rsidR="00E56E37" w:rsidRDefault="009851CD">
            <w:pPr>
              <w:pStyle w:val="TableParagraph"/>
              <w:spacing w:before="51" w:line="247" w:lineRule="auto"/>
              <w:rPr>
                <w:color w:val="0C0C0C"/>
                <w:w w:val="105"/>
                <w:sz w:val="20"/>
              </w:rPr>
            </w:pPr>
            <w:r>
              <w:rPr>
                <w:color w:val="0C0C0C"/>
                <w:w w:val="105"/>
                <w:sz w:val="20"/>
              </w:rPr>
              <w:t>Small group intervention after school.</w:t>
            </w:r>
          </w:p>
          <w:p w:rsidR="0056137B" w:rsidRDefault="0056137B">
            <w:pPr>
              <w:pStyle w:val="TableParagraph"/>
              <w:spacing w:before="51" w:line="247" w:lineRule="auto"/>
              <w:rPr>
                <w:color w:val="0C0C0C"/>
                <w:w w:val="105"/>
                <w:sz w:val="20"/>
              </w:rPr>
            </w:pPr>
            <w:r>
              <w:rPr>
                <w:color w:val="0C0C0C"/>
                <w:w w:val="105"/>
                <w:sz w:val="20"/>
              </w:rPr>
              <w:t>Intervention support from Heads of Departments in English, Maths and Science.</w:t>
            </w:r>
          </w:p>
          <w:p w:rsidR="00E559B3" w:rsidRDefault="00E559B3">
            <w:pPr>
              <w:pStyle w:val="TableParagraph"/>
              <w:spacing w:before="51" w:line="247" w:lineRule="auto"/>
              <w:rPr>
                <w:sz w:val="20"/>
              </w:rPr>
            </w:pPr>
            <w:r>
              <w:rPr>
                <w:color w:val="0C0C0C"/>
                <w:w w:val="105"/>
                <w:sz w:val="20"/>
              </w:rPr>
              <w:t>Reading lessons for KS3.</w:t>
            </w:r>
          </w:p>
          <w:p w:rsidR="00E56E37" w:rsidRDefault="00E56E37">
            <w:pPr>
              <w:pStyle w:val="TableParagraph"/>
              <w:spacing w:before="59" w:line="247" w:lineRule="auto"/>
              <w:ind w:right="172"/>
              <w:rPr>
                <w:sz w:val="20"/>
              </w:rPr>
            </w:pPr>
          </w:p>
        </w:tc>
        <w:tc>
          <w:tcPr>
            <w:tcW w:w="4644" w:type="dxa"/>
          </w:tcPr>
          <w:p w:rsidR="00E56E37" w:rsidRDefault="009851CD">
            <w:pPr>
              <w:pStyle w:val="TableParagraph"/>
              <w:spacing w:before="8" w:line="247" w:lineRule="auto"/>
              <w:ind w:left="157" w:right="850"/>
              <w:rPr>
                <w:sz w:val="20"/>
              </w:rPr>
            </w:pPr>
            <w:r>
              <w:rPr>
                <w:color w:val="0C0C0C"/>
                <w:w w:val="105"/>
                <w:sz w:val="20"/>
              </w:rPr>
              <w:t>maximum impact is achieved when the sessions run for 6-12 weeks.</w:t>
            </w:r>
          </w:p>
        </w:tc>
        <w:tc>
          <w:tcPr>
            <w:tcW w:w="1482" w:type="dxa"/>
          </w:tcPr>
          <w:p w:rsidR="00E56E37" w:rsidRDefault="00E56E37">
            <w:pPr>
              <w:pStyle w:val="TableParagraph"/>
              <w:spacing w:before="0"/>
              <w:ind w:left="0"/>
              <w:rPr>
                <w:rFonts w:ascii="Times New Roman"/>
                <w:sz w:val="20"/>
              </w:rPr>
            </w:pPr>
          </w:p>
        </w:tc>
      </w:tr>
      <w:tr w:rsidR="00E56E37">
        <w:trPr>
          <w:trHeight w:val="2602"/>
        </w:trPr>
        <w:tc>
          <w:tcPr>
            <w:tcW w:w="2792" w:type="dxa"/>
          </w:tcPr>
          <w:p w:rsidR="00E56E37" w:rsidRDefault="009851CD">
            <w:pPr>
              <w:pStyle w:val="TableParagraph"/>
              <w:spacing w:before="63" w:line="247" w:lineRule="auto"/>
              <w:rPr>
                <w:sz w:val="20"/>
              </w:rPr>
            </w:pPr>
            <w:r>
              <w:rPr>
                <w:color w:val="0C0C0C"/>
                <w:w w:val="105"/>
                <w:sz w:val="20"/>
              </w:rPr>
              <w:t>To provide individual mentoring support for disadvantaged students to build resilience, raise aspirations and support academic achievement.</w:t>
            </w:r>
          </w:p>
          <w:p w:rsidR="00E56E37" w:rsidRDefault="009851CD">
            <w:pPr>
              <w:pStyle w:val="TableParagraph"/>
              <w:spacing w:before="6" w:line="244" w:lineRule="auto"/>
              <w:rPr>
                <w:sz w:val="20"/>
              </w:rPr>
            </w:pPr>
            <w:r>
              <w:rPr>
                <w:color w:val="0C0C0C"/>
                <w:w w:val="105"/>
                <w:sz w:val="20"/>
              </w:rPr>
              <w:t xml:space="preserve">This will be done through </w:t>
            </w:r>
            <w:r>
              <w:rPr>
                <w:color w:val="0C0C0C"/>
                <w:sz w:val="20"/>
              </w:rPr>
              <w:t>participation</w:t>
            </w:r>
            <w:r>
              <w:rPr>
                <w:color w:val="0C0C0C"/>
                <w:spacing w:val="55"/>
                <w:sz w:val="20"/>
              </w:rPr>
              <w:t xml:space="preserve"> </w:t>
            </w:r>
            <w:r>
              <w:rPr>
                <w:color w:val="0C0C0C"/>
                <w:sz w:val="20"/>
              </w:rPr>
              <w:t>co-ordinators.</w:t>
            </w:r>
          </w:p>
        </w:tc>
        <w:tc>
          <w:tcPr>
            <w:tcW w:w="4644" w:type="dxa"/>
          </w:tcPr>
          <w:p w:rsidR="00E56E37" w:rsidRDefault="009851CD">
            <w:pPr>
              <w:pStyle w:val="TableParagraph"/>
              <w:spacing w:before="63" w:line="247" w:lineRule="auto"/>
              <w:ind w:left="157" w:right="254"/>
              <w:rPr>
                <w:sz w:val="20"/>
              </w:rPr>
            </w:pPr>
            <w:r>
              <w:rPr>
                <w:color w:val="0C0C0C"/>
                <w:w w:val="105"/>
                <w:sz w:val="20"/>
              </w:rPr>
              <w:t>Research shows varied results for mentoring programme, but some issues are resolved in our programme as the mentors will not drop out of the programme, they are well trained and will be able to see the students over time once the programme has finished.</w:t>
            </w:r>
          </w:p>
          <w:p w:rsidR="00E56E37" w:rsidRDefault="00E56E37">
            <w:pPr>
              <w:pStyle w:val="TableParagraph"/>
              <w:spacing w:before="9"/>
              <w:ind w:left="0"/>
              <w:rPr>
                <w:sz w:val="30"/>
              </w:rPr>
            </w:pPr>
          </w:p>
          <w:p w:rsidR="00E56E37" w:rsidRDefault="009851CD">
            <w:pPr>
              <w:pStyle w:val="TableParagraph"/>
              <w:spacing w:before="0" w:line="249" w:lineRule="auto"/>
              <w:ind w:left="157" w:right="235"/>
              <w:rPr>
                <w:sz w:val="20"/>
              </w:rPr>
            </w:pPr>
            <w:r>
              <w:rPr>
                <w:color w:val="0C0C0C"/>
                <w:sz w:val="20"/>
              </w:rPr>
              <w:t xml:space="preserve">https://educationendowmentfoundation.org.uk/ </w:t>
            </w:r>
            <w:r>
              <w:rPr>
                <w:color w:val="0C0C0C"/>
                <w:w w:val="105"/>
                <w:sz w:val="20"/>
              </w:rPr>
              <w:t>education-evidence/teaching-learning- toolkit/mentoring</w:t>
            </w:r>
          </w:p>
        </w:tc>
        <w:tc>
          <w:tcPr>
            <w:tcW w:w="1482" w:type="dxa"/>
          </w:tcPr>
          <w:p w:rsidR="00E56E37" w:rsidRDefault="009851CD">
            <w:pPr>
              <w:pStyle w:val="TableParagraph"/>
              <w:spacing w:before="63"/>
              <w:ind w:left="157"/>
              <w:rPr>
                <w:sz w:val="20"/>
              </w:rPr>
            </w:pPr>
            <w:r>
              <w:rPr>
                <w:color w:val="0C0C0C"/>
                <w:w w:val="105"/>
                <w:sz w:val="20"/>
              </w:rPr>
              <w:t>1, 3, 4, 5</w:t>
            </w:r>
          </w:p>
        </w:tc>
      </w:tr>
      <w:tr w:rsidR="00E56E37">
        <w:trPr>
          <w:trHeight w:val="1889"/>
        </w:trPr>
        <w:tc>
          <w:tcPr>
            <w:tcW w:w="2792" w:type="dxa"/>
          </w:tcPr>
          <w:p w:rsidR="00E56E37" w:rsidRDefault="009851CD">
            <w:pPr>
              <w:pStyle w:val="TableParagraph"/>
              <w:spacing w:line="249" w:lineRule="auto"/>
              <w:rPr>
                <w:sz w:val="20"/>
              </w:rPr>
            </w:pPr>
            <w:r>
              <w:rPr>
                <w:color w:val="0C0C0C"/>
                <w:w w:val="105"/>
                <w:sz w:val="20"/>
              </w:rPr>
              <w:t>Literacy and numeracy interventions for identified year 7</w:t>
            </w:r>
            <w:r w:rsidR="0056137B">
              <w:rPr>
                <w:color w:val="0C0C0C"/>
                <w:w w:val="105"/>
                <w:sz w:val="20"/>
              </w:rPr>
              <w:t>, 8 and 9</w:t>
            </w:r>
            <w:r>
              <w:rPr>
                <w:color w:val="0C0C0C"/>
                <w:w w:val="105"/>
                <w:sz w:val="20"/>
              </w:rPr>
              <w:t xml:space="preserve"> students.</w:t>
            </w:r>
          </w:p>
          <w:p w:rsidR="00E56E37" w:rsidRDefault="009851CD">
            <w:pPr>
              <w:pStyle w:val="TableParagraph"/>
              <w:spacing w:before="0" w:line="247" w:lineRule="auto"/>
              <w:ind w:right="334"/>
              <w:jc w:val="both"/>
              <w:rPr>
                <w:sz w:val="20"/>
              </w:rPr>
            </w:pPr>
            <w:r>
              <w:rPr>
                <w:color w:val="0C0C0C"/>
                <w:w w:val="105"/>
                <w:sz w:val="20"/>
              </w:rPr>
              <w:t>Delivered by HLTAs and specialist teachers</w:t>
            </w:r>
            <w:r>
              <w:rPr>
                <w:color w:val="0C0C0C"/>
                <w:spacing w:val="-27"/>
                <w:w w:val="105"/>
                <w:sz w:val="20"/>
              </w:rPr>
              <w:t xml:space="preserve"> </w:t>
            </w:r>
            <w:r>
              <w:rPr>
                <w:color w:val="0C0C0C"/>
                <w:spacing w:val="-3"/>
                <w:w w:val="105"/>
                <w:sz w:val="20"/>
              </w:rPr>
              <w:t xml:space="preserve">within </w:t>
            </w:r>
            <w:r>
              <w:rPr>
                <w:color w:val="0C0C0C"/>
                <w:w w:val="105"/>
                <w:sz w:val="20"/>
              </w:rPr>
              <w:t>SEND.</w:t>
            </w:r>
          </w:p>
        </w:tc>
        <w:tc>
          <w:tcPr>
            <w:tcW w:w="4644" w:type="dxa"/>
          </w:tcPr>
          <w:p w:rsidR="00E56E37" w:rsidRDefault="009851CD">
            <w:pPr>
              <w:pStyle w:val="TableParagraph"/>
              <w:spacing w:line="249" w:lineRule="auto"/>
              <w:ind w:left="157" w:right="184"/>
              <w:rPr>
                <w:sz w:val="20"/>
              </w:rPr>
            </w:pPr>
            <w:r>
              <w:rPr>
                <w:color w:val="0C0C0C"/>
                <w:w w:val="105"/>
                <w:sz w:val="20"/>
              </w:rPr>
              <w:t>The EEF report that the improvement in reading comprehension can have a high impact for moderate cost when money is invested, with 6-month average progress for a given intervention.</w:t>
            </w:r>
          </w:p>
        </w:tc>
        <w:tc>
          <w:tcPr>
            <w:tcW w:w="1482" w:type="dxa"/>
          </w:tcPr>
          <w:p w:rsidR="00E56E37" w:rsidRDefault="009851CD">
            <w:pPr>
              <w:pStyle w:val="TableParagraph"/>
              <w:ind w:left="157"/>
              <w:rPr>
                <w:sz w:val="20"/>
              </w:rPr>
            </w:pPr>
            <w:r>
              <w:rPr>
                <w:color w:val="0C0C0C"/>
                <w:w w:val="103"/>
                <w:sz w:val="20"/>
              </w:rPr>
              <w:t>2</w:t>
            </w:r>
          </w:p>
        </w:tc>
      </w:tr>
      <w:tr w:rsidR="00E56E37">
        <w:trPr>
          <w:trHeight w:val="2309"/>
        </w:trPr>
        <w:tc>
          <w:tcPr>
            <w:tcW w:w="2792" w:type="dxa"/>
          </w:tcPr>
          <w:p w:rsidR="00E56E37" w:rsidRDefault="009851CD">
            <w:pPr>
              <w:pStyle w:val="TableParagraph"/>
              <w:spacing w:before="63" w:line="249" w:lineRule="auto"/>
              <w:ind w:right="172"/>
              <w:rPr>
                <w:sz w:val="20"/>
              </w:rPr>
            </w:pPr>
            <w:r>
              <w:rPr>
                <w:color w:val="0C0C0C"/>
                <w:w w:val="105"/>
                <w:sz w:val="20"/>
              </w:rPr>
              <w:t>Provision of materials and learning resources for pupil premium students (including laptop access)</w:t>
            </w:r>
          </w:p>
        </w:tc>
        <w:tc>
          <w:tcPr>
            <w:tcW w:w="4644" w:type="dxa"/>
          </w:tcPr>
          <w:p w:rsidR="00E56E37" w:rsidRDefault="009851CD">
            <w:pPr>
              <w:pStyle w:val="TableParagraph"/>
              <w:spacing w:before="63" w:line="247" w:lineRule="auto"/>
              <w:ind w:left="157" w:right="523"/>
              <w:rPr>
                <w:sz w:val="20"/>
              </w:rPr>
            </w:pPr>
            <w:r>
              <w:rPr>
                <w:color w:val="0C0C0C"/>
                <w:w w:val="105"/>
                <w:sz w:val="20"/>
              </w:rPr>
              <w:t>The EEF report that the provision of digital technology has a moderate impact on progress.</w:t>
            </w:r>
          </w:p>
          <w:p w:rsidR="00E56E37" w:rsidRDefault="009851CD">
            <w:pPr>
              <w:pStyle w:val="TableParagraph"/>
              <w:spacing w:before="59" w:line="249" w:lineRule="auto"/>
              <w:ind w:left="157" w:right="206"/>
              <w:rPr>
                <w:sz w:val="20"/>
              </w:rPr>
            </w:pPr>
            <w:r>
              <w:rPr>
                <w:color w:val="0C0C0C"/>
                <w:w w:val="105"/>
                <w:sz w:val="20"/>
              </w:rPr>
              <w:t>The</w:t>
            </w:r>
            <w:r>
              <w:rPr>
                <w:color w:val="0C0C0C"/>
                <w:spacing w:val="-11"/>
                <w:w w:val="105"/>
                <w:sz w:val="20"/>
              </w:rPr>
              <w:t xml:space="preserve"> </w:t>
            </w:r>
            <w:r>
              <w:rPr>
                <w:color w:val="0C0C0C"/>
                <w:w w:val="105"/>
                <w:sz w:val="20"/>
              </w:rPr>
              <w:t>Sutton</w:t>
            </w:r>
            <w:r>
              <w:rPr>
                <w:color w:val="0C0C0C"/>
                <w:spacing w:val="-8"/>
                <w:w w:val="105"/>
                <w:sz w:val="20"/>
              </w:rPr>
              <w:t xml:space="preserve"> </w:t>
            </w:r>
            <w:r>
              <w:rPr>
                <w:color w:val="0C0C0C"/>
                <w:w w:val="105"/>
                <w:sz w:val="20"/>
              </w:rPr>
              <w:t>Trust</w:t>
            </w:r>
            <w:r>
              <w:rPr>
                <w:color w:val="0C0C0C"/>
                <w:spacing w:val="-11"/>
                <w:w w:val="105"/>
                <w:sz w:val="20"/>
              </w:rPr>
              <w:t xml:space="preserve"> </w:t>
            </w:r>
            <w:r>
              <w:rPr>
                <w:color w:val="0C0C0C"/>
                <w:w w:val="105"/>
                <w:sz w:val="20"/>
              </w:rPr>
              <w:t>reported</w:t>
            </w:r>
            <w:r>
              <w:rPr>
                <w:color w:val="0C0C0C"/>
                <w:spacing w:val="-9"/>
                <w:w w:val="105"/>
                <w:sz w:val="20"/>
              </w:rPr>
              <w:t xml:space="preserve"> </w:t>
            </w:r>
            <w:r>
              <w:rPr>
                <w:color w:val="0C0C0C"/>
                <w:w w:val="105"/>
                <w:sz w:val="20"/>
              </w:rPr>
              <w:t>that</w:t>
            </w:r>
            <w:r>
              <w:rPr>
                <w:color w:val="0C0C0C"/>
                <w:spacing w:val="-9"/>
                <w:w w:val="105"/>
                <w:sz w:val="20"/>
              </w:rPr>
              <w:t xml:space="preserve"> </w:t>
            </w:r>
            <w:r>
              <w:rPr>
                <w:color w:val="0C0C0C"/>
                <w:w w:val="105"/>
                <w:sz w:val="20"/>
              </w:rPr>
              <w:t>in</w:t>
            </w:r>
            <w:r>
              <w:rPr>
                <w:color w:val="0C0C0C"/>
                <w:spacing w:val="-11"/>
                <w:w w:val="105"/>
                <w:sz w:val="20"/>
              </w:rPr>
              <w:t xml:space="preserve"> </w:t>
            </w:r>
            <w:r>
              <w:rPr>
                <w:color w:val="0C0C0C"/>
                <w:w w:val="105"/>
                <w:sz w:val="20"/>
              </w:rPr>
              <w:t>the</w:t>
            </w:r>
            <w:r>
              <w:rPr>
                <w:color w:val="0C0C0C"/>
                <w:spacing w:val="-11"/>
                <w:w w:val="105"/>
                <w:sz w:val="20"/>
              </w:rPr>
              <w:t xml:space="preserve"> </w:t>
            </w:r>
            <w:r>
              <w:rPr>
                <w:color w:val="0C0C0C"/>
                <w:w w:val="105"/>
                <w:sz w:val="20"/>
              </w:rPr>
              <w:t>first</w:t>
            </w:r>
            <w:r>
              <w:rPr>
                <w:color w:val="0C0C0C"/>
                <w:spacing w:val="-10"/>
                <w:w w:val="105"/>
                <w:sz w:val="20"/>
              </w:rPr>
              <w:t xml:space="preserve"> </w:t>
            </w:r>
            <w:r>
              <w:rPr>
                <w:color w:val="0C0C0C"/>
                <w:w w:val="105"/>
                <w:sz w:val="20"/>
              </w:rPr>
              <w:t>week of the January 2021 lockdown, just 10% of teacher’s overall report that all their students have adequate access to a device for remote learning.</w:t>
            </w:r>
            <w:r>
              <w:rPr>
                <w:color w:val="0C0C0C"/>
                <w:spacing w:val="-9"/>
                <w:w w:val="105"/>
                <w:sz w:val="20"/>
              </w:rPr>
              <w:t xml:space="preserve"> </w:t>
            </w:r>
            <w:r>
              <w:rPr>
                <w:color w:val="0C0C0C"/>
                <w:w w:val="105"/>
                <w:sz w:val="20"/>
              </w:rPr>
              <w:t>While</w:t>
            </w:r>
            <w:r>
              <w:rPr>
                <w:color w:val="0C0C0C"/>
                <w:spacing w:val="-9"/>
                <w:w w:val="105"/>
                <w:sz w:val="20"/>
              </w:rPr>
              <w:t xml:space="preserve"> </w:t>
            </w:r>
            <w:r>
              <w:rPr>
                <w:color w:val="0C0C0C"/>
                <w:w w:val="105"/>
                <w:sz w:val="20"/>
              </w:rPr>
              <w:t>17%</w:t>
            </w:r>
            <w:r>
              <w:rPr>
                <w:color w:val="0C0C0C"/>
                <w:spacing w:val="-9"/>
                <w:w w:val="105"/>
                <w:sz w:val="20"/>
              </w:rPr>
              <w:t xml:space="preserve"> </w:t>
            </w:r>
            <w:r>
              <w:rPr>
                <w:color w:val="0C0C0C"/>
                <w:w w:val="105"/>
                <w:sz w:val="20"/>
              </w:rPr>
              <w:t>report</w:t>
            </w:r>
            <w:r>
              <w:rPr>
                <w:color w:val="0C0C0C"/>
                <w:spacing w:val="-9"/>
                <w:w w:val="105"/>
                <w:sz w:val="20"/>
              </w:rPr>
              <w:t xml:space="preserve"> </w:t>
            </w:r>
            <w:r>
              <w:rPr>
                <w:color w:val="0C0C0C"/>
                <w:w w:val="105"/>
                <w:sz w:val="20"/>
              </w:rPr>
              <w:t>that</w:t>
            </w:r>
            <w:r>
              <w:rPr>
                <w:color w:val="0C0C0C"/>
                <w:spacing w:val="-9"/>
                <w:w w:val="105"/>
                <w:sz w:val="20"/>
              </w:rPr>
              <w:t xml:space="preserve"> </w:t>
            </w:r>
            <w:r>
              <w:rPr>
                <w:color w:val="0C0C0C"/>
                <w:w w:val="105"/>
                <w:sz w:val="20"/>
              </w:rPr>
              <w:t>more</w:t>
            </w:r>
            <w:r>
              <w:rPr>
                <w:color w:val="0C0C0C"/>
                <w:spacing w:val="-10"/>
                <w:w w:val="105"/>
                <w:sz w:val="20"/>
              </w:rPr>
              <w:t xml:space="preserve"> </w:t>
            </w:r>
            <w:r>
              <w:rPr>
                <w:color w:val="0C0C0C"/>
                <w:w w:val="105"/>
                <w:sz w:val="20"/>
              </w:rPr>
              <w:t>than</w:t>
            </w:r>
            <w:r>
              <w:rPr>
                <w:color w:val="0C0C0C"/>
                <w:spacing w:val="-7"/>
                <w:w w:val="105"/>
                <w:sz w:val="20"/>
              </w:rPr>
              <w:t xml:space="preserve"> </w:t>
            </w:r>
            <w:r>
              <w:rPr>
                <w:color w:val="0C0C0C"/>
                <w:w w:val="105"/>
                <w:sz w:val="20"/>
              </w:rPr>
              <w:t>1</w:t>
            </w:r>
            <w:r>
              <w:rPr>
                <w:color w:val="0C0C0C"/>
                <w:spacing w:val="-9"/>
                <w:w w:val="105"/>
                <w:sz w:val="20"/>
              </w:rPr>
              <w:t xml:space="preserve"> </w:t>
            </w:r>
            <w:r>
              <w:rPr>
                <w:color w:val="0C0C0C"/>
                <w:w w:val="105"/>
                <w:sz w:val="20"/>
              </w:rPr>
              <w:t>in 5 of their students don’t have such</w:t>
            </w:r>
            <w:r>
              <w:rPr>
                <w:color w:val="0C0C0C"/>
                <w:spacing w:val="-41"/>
                <w:w w:val="105"/>
                <w:sz w:val="20"/>
              </w:rPr>
              <w:t xml:space="preserve"> </w:t>
            </w:r>
            <w:r>
              <w:rPr>
                <w:color w:val="0C0C0C"/>
                <w:w w:val="105"/>
                <w:sz w:val="20"/>
              </w:rPr>
              <w:t>access</w:t>
            </w:r>
          </w:p>
        </w:tc>
        <w:tc>
          <w:tcPr>
            <w:tcW w:w="1482" w:type="dxa"/>
          </w:tcPr>
          <w:p w:rsidR="00E56E37" w:rsidRDefault="009851CD">
            <w:pPr>
              <w:pStyle w:val="TableParagraph"/>
              <w:spacing w:before="63"/>
              <w:ind w:left="157"/>
              <w:rPr>
                <w:sz w:val="20"/>
              </w:rPr>
            </w:pPr>
            <w:r>
              <w:rPr>
                <w:color w:val="0C0C0C"/>
                <w:w w:val="105"/>
                <w:sz w:val="20"/>
              </w:rPr>
              <w:t>1,</w:t>
            </w:r>
          </w:p>
        </w:tc>
      </w:tr>
      <w:tr w:rsidR="00E56E37">
        <w:trPr>
          <w:trHeight w:val="1300"/>
        </w:trPr>
        <w:tc>
          <w:tcPr>
            <w:tcW w:w="2792" w:type="dxa"/>
          </w:tcPr>
          <w:p w:rsidR="00E56E37" w:rsidRDefault="009851CD">
            <w:pPr>
              <w:pStyle w:val="TableParagraph"/>
              <w:spacing w:line="249" w:lineRule="auto"/>
              <w:ind w:right="172"/>
              <w:rPr>
                <w:sz w:val="20"/>
              </w:rPr>
            </w:pPr>
            <w:r>
              <w:rPr>
                <w:color w:val="0C0C0C"/>
                <w:w w:val="105"/>
                <w:sz w:val="20"/>
              </w:rPr>
              <w:t>Funding for educational trips and visits</w:t>
            </w:r>
          </w:p>
        </w:tc>
        <w:tc>
          <w:tcPr>
            <w:tcW w:w="4644" w:type="dxa"/>
          </w:tcPr>
          <w:p w:rsidR="00E56E37" w:rsidRDefault="009851CD">
            <w:pPr>
              <w:pStyle w:val="TableParagraph"/>
              <w:spacing w:line="249" w:lineRule="auto"/>
              <w:ind w:left="157" w:right="289"/>
              <w:rPr>
                <w:sz w:val="20"/>
              </w:rPr>
            </w:pPr>
            <w:r>
              <w:rPr>
                <w:color w:val="0C0C0C"/>
                <w:w w:val="105"/>
                <w:sz w:val="20"/>
              </w:rPr>
              <w:t>To ensure that all students can access educational trips and visits in order to ensure they have equitable access to the curriculum as their non-pupil premium peers and also to help boost their aspirations.</w:t>
            </w:r>
          </w:p>
        </w:tc>
        <w:tc>
          <w:tcPr>
            <w:tcW w:w="1482" w:type="dxa"/>
          </w:tcPr>
          <w:p w:rsidR="00E56E37" w:rsidRDefault="009851CD">
            <w:pPr>
              <w:pStyle w:val="TableParagraph"/>
              <w:ind w:left="157"/>
              <w:rPr>
                <w:sz w:val="20"/>
              </w:rPr>
            </w:pPr>
            <w:r>
              <w:rPr>
                <w:color w:val="0C0C0C"/>
                <w:w w:val="105"/>
                <w:sz w:val="20"/>
              </w:rPr>
              <w:t>1, 3, 5</w:t>
            </w:r>
          </w:p>
        </w:tc>
      </w:tr>
      <w:tr w:rsidR="00E56E37">
        <w:trPr>
          <w:trHeight w:val="827"/>
        </w:trPr>
        <w:tc>
          <w:tcPr>
            <w:tcW w:w="2792" w:type="dxa"/>
          </w:tcPr>
          <w:p w:rsidR="00E56E37" w:rsidRDefault="009851CD">
            <w:pPr>
              <w:pStyle w:val="TableParagraph"/>
              <w:spacing w:line="247" w:lineRule="auto"/>
              <w:ind w:right="172"/>
              <w:rPr>
                <w:sz w:val="20"/>
              </w:rPr>
            </w:pPr>
            <w:r>
              <w:rPr>
                <w:color w:val="0C0C0C"/>
                <w:w w:val="105"/>
                <w:sz w:val="20"/>
              </w:rPr>
              <w:t>Music Tuition and alternative provision to support curriculum</w:t>
            </w:r>
          </w:p>
        </w:tc>
        <w:tc>
          <w:tcPr>
            <w:tcW w:w="4644" w:type="dxa"/>
          </w:tcPr>
          <w:p w:rsidR="00E56E37" w:rsidRDefault="009851CD">
            <w:pPr>
              <w:pStyle w:val="TableParagraph"/>
              <w:spacing w:line="247" w:lineRule="auto"/>
              <w:ind w:left="157" w:right="184"/>
              <w:rPr>
                <w:sz w:val="20"/>
              </w:rPr>
            </w:pPr>
            <w:r>
              <w:rPr>
                <w:color w:val="0C0C0C"/>
                <w:w w:val="105"/>
                <w:sz w:val="20"/>
              </w:rPr>
              <w:t>The EEF report that Arts participation approaches can have a positive impact on other parts of the curriculum, and beyond this,</w:t>
            </w:r>
          </w:p>
        </w:tc>
        <w:tc>
          <w:tcPr>
            <w:tcW w:w="1482" w:type="dxa"/>
          </w:tcPr>
          <w:p w:rsidR="00E56E37" w:rsidRDefault="009851CD">
            <w:pPr>
              <w:pStyle w:val="TableParagraph"/>
              <w:ind w:left="157"/>
              <w:rPr>
                <w:sz w:val="20"/>
              </w:rPr>
            </w:pPr>
            <w:r>
              <w:rPr>
                <w:color w:val="0C0C0C"/>
                <w:w w:val="105"/>
                <w:sz w:val="20"/>
              </w:rPr>
              <w:t>1, 3, 5</w:t>
            </w:r>
          </w:p>
        </w:tc>
      </w:tr>
    </w:tbl>
    <w:p w:rsidR="00E56E37" w:rsidRDefault="00E56E37">
      <w:pPr>
        <w:rPr>
          <w:sz w:val="20"/>
        </w:rPr>
        <w:sectPr w:rsidR="00E56E37">
          <w:pgSz w:w="12240" w:h="15840"/>
          <w:pgMar w:top="1060" w:right="1620" w:bottom="840" w:left="1480" w:header="0" w:footer="651"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4644"/>
        <w:gridCol w:w="1482"/>
      </w:tblGrid>
      <w:tr w:rsidR="00E56E37">
        <w:trPr>
          <w:trHeight w:val="533"/>
        </w:trPr>
        <w:tc>
          <w:tcPr>
            <w:tcW w:w="2792" w:type="dxa"/>
          </w:tcPr>
          <w:p w:rsidR="00E56E37" w:rsidRDefault="00E56E37">
            <w:pPr>
              <w:pStyle w:val="TableParagraph"/>
              <w:spacing w:before="0"/>
              <w:ind w:left="0"/>
              <w:rPr>
                <w:rFonts w:ascii="Times New Roman"/>
                <w:sz w:val="20"/>
              </w:rPr>
            </w:pPr>
          </w:p>
        </w:tc>
        <w:tc>
          <w:tcPr>
            <w:tcW w:w="4644" w:type="dxa"/>
          </w:tcPr>
          <w:p w:rsidR="00E56E37" w:rsidRDefault="009851CD">
            <w:pPr>
              <w:pStyle w:val="TableParagraph"/>
              <w:spacing w:before="8" w:line="247" w:lineRule="auto"/>
              <w:ind w:left="157" w:right="663"/>
              <w:rPr>
                <w:sz w:val="20"/>
              </w:rPr>
            </w:pPr>
            <w:r>
              <w:rPr>
                <w:color w:val="0C0C0C"/>
                <w:w w:val="105"/>
                <w:sz w:val="20"/>
              </w:rPr>
              <w:t>participation in the Arts can be extremely valuable to young people.</w:t>
            </w:r>
          </w:p>
        </w:tc>
        <w:tc>
          <w:tcPr>
            <w:tcW w:w="1482" w:type="dxa"/>
          </w:tcPr>
          <w:p w:rsidR="00E56E37" w:rsidRDefault="00E56E37">
            <w:pPr>
              <w:pStyle w:val="TableParagraph"/>
              <w:spacing w:before="0"/>
              <w:ind w:left="0"/>
              <w:rPr>
                <w:rFonts w:ascii="Times New Roman"/>
                <w:sz w:val="20"/>
              </w:rPr>
            </w:pPr>
          </w:p>
        </w:tc>
      </w:tr>
    </w:tbl>
    <w:p w:rsidR="00E56E37" w:rsidRDefault="00E56E37">
      <w:pPr>
        <w:pStyle w:val="BodyText"/>
        <w:rPr>
          <w:sz w:val="24"/>
        </w:rPr>
      </w:pPr>
    </w:p>
    <w:p w:rsidR="00E56E37" w:rsidRDefault="009851CD">
      <w:pPr>
        <w:pStyle w:val="Heading3"/>
        <w:spacing w:line="290" w:lineRule="auto"/>
      </w:pPr>
      <w:r>
        <w:rPr>
          <w:color w:val="0F4F75"/>
        </w:rPr>
        <w:t>Wider strategies (for example, related to attendance, behaviour, wellbeing)</w:t>
      </w:r>
    </w:p>
    <w:p w:rsidR="00E56E37" w:rsidRDefault="00E559B3">
      <w:pPr>
        <w:pStyle w:val="BodyText"/>
        <w:spacing w:before="231"/>
        <w:ind w:left="103"/>
      </w:pPr>
      <w:r>
        <w:rPr>
          <w:color w:val="0C0C0C"/>
        </w:rPr>
        <w:t>Budgeted cost: £5</w:t>
      </w:r>
      <w:r w:rsidR="009851CD">
        <w:rPr>
          <w:color w:val="0C0C0C"/>
        </w:rPr>
        <w:t>8400</w:t>
      </w:r>
    </w:p>
    <w:p w:rsidR="00E56E37" w:rsidRDefault="00E56E37">
      <w:pPr>
        <w:pStyle w:val="BodyText"/>
        <w:spacing w:before="6"/>
        <w:rPr>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4550"/>
        <w:gridCol w:w="1438"/>
      </w:tblGrid>
      <w:tr w:rsidR="00E56E37">
        <w:trPr>
          <w:trHeight w:val="890"/>
        </w:trPr>
        <w:tc>
          <w:tcPr>
            <w:tcW w:w="2929" w:type="dxa"/>
            <w:shd w:val="clear" w:color="auto" w:fill="D8E2E8"/>
          </w:tcPr>
          <w:p w:rsidR="00E56E37" w:rsidRDefault="009851CD">
            <w:pPr>
              <w:pStyle w:val="TableParagraph"/>
              <w:spacing w:before="60"/>
              <w:rPr>
                <w:rFonts w:ascii="Arial"/>
                <w:b/>
              </w:rPr>
            </w:pPr>
            <w:r>
              <w:rPr>
                <w:rFonts w:ascii="Arial"/>
                <w:b/>
                <w:color w:val="0C0C0C"/>
              </w:rPr>
              <w:t>Activity</w:t>
            </w:r>
          </w:p>
        </w:tc>
        <w:tc>
          <w:tcPr>
            <w:tcW w:w="4550" w:type="dxa"/>
            <w:shd w:val="clear" w:color="auto" w:fill="D8E2E8"/>
          </w:tcPr>
          <w:p w:rsidR="00E56E37" w:rsidRDefault="009851CD">
            <w:pPr>
              <w:pStyle w:val="TableParagraph"/>
              <w:spacing w:before="60"/>
              <w:ind w:left="154"/>
              <w:rPr>
                <w:rFonts w:ascii="Arial"/>
                <w:b/>
              </w:rPr>
            </w:pPr>
            <w:r>
              <w:rPr>
                <w:rFonts w:ascii="Arial"/>
                <w:b/>
                <w:color w:val="0C0C0C"/>
              </w:rPr>
              <w:t>Evidence that supports this approach</w:t>
            </w:r>
          </w:p>
        </w:tc>
        <w:tc>
          <w:tcPr>
            <w:tcW w:w="1438" w:type="dxa"/>
            <w:shd w:val="clear" w:color="auto" w:fill="D8E2E8"/>
          </w:tcPr>
          <w:p w:rsidR="00E56E37" w:rsidRDefault="009851CD">
            <w:pPr>
              <w:pStyle w:val="TableParagraph"/>
              <w:spacing w:before="60" w:line="247" w:lineRule="auto"/>
              <w:ind w:right="141"/>
              <w:jc w:val="both"/>
              <w:rPr>
                <w:rFonts w:ascii="Arial"/>
                <w:b/>
              </w:rPr>
            </w:pPr>
            <w:r>
              <w:rPr>
                <w:rFonts w:ascii="Arial"/>
                <w:b/>
                <w:color w:val="0C0C0C"/>
              </w:rPr>
              <w:t>Challenge number(s) addressed</w:t>
            </w:r>
          </w:p>
        </w:tc>
      </w:tr>
      <w:tr w:rsidR="00E56E37">
        <w:trPr>
          <w:trHeight w:val="2013"/>
        </w:trPr>
        <w:tc>
          <w:tcPr>
            <w:tcW w:w="2929" w:type="dxa"/>
          </w:tcPr>
          <w:p w:rsidR="00E56E37" w:rsidRDefault="009851CD">
            <w:pPr>
              <w:pStyle w:val="TableParagraph"/>
              <w:spacing w:line="247" w:lineRule="auto"/>
              <w:rPr>
                <w:sz w:val="20"/>
              </w:rPr>
            </w:pPr>
            <w:r>
              <w:rPr>
                <w:color w:val="0C0C0C"/>
                <w:w w:val="105"/>
                <w:sz w:val="20"/>
              </w:rPr>
              <w:t>To provide ELSA support, Inclusion Centre support or Educational Psychologist support as appropriate to those students with SEMH needs.</w:t>
            </w:r>
          </w:p>
        </w:tc>
        <w:tc>
          <w:tcPr>
            <w:tcW w:w="4550" w:type="dxa"/>
          </w:tcPr>
          <w:p w:rsidR="00E56E37" w:rsidRDefault="009851CD">
            <w:pPr>
              <w:pStyle w:val="TableParagraph"/>
              <w:spacing w:line="247" w:lineRule="auto"/>
              <w:ind w:left="154" w:right="291"/>
              <w:rPr>
                <w:sz w:val="20"/>
              </w:rPr>
            </w:pPr>
            <w:r>
              <w:rPr>
                <w:color w:val="0C0C0C"/>
                <w:w w:val="105"/>
                <w:sz w:val="20"/>
              </w:rPr>
              <w:t>The EEF report on social and emotional learning and it has been identified that this has an identifiable and valuable impact on attitudes to learning and social relationships and supporting student welfare and well- being. in school. Effective social and emotional learning can lead to 4 months average progress on attainment.</w:t>
            </w:r>
          </w:p>
        </w:tc>
        <w:tc>
          <w:tcPr>
            <w:tcW w:w="1438" w:type="dxa"/>
          </w:tcPr>
          <w:p w:rsidR="00E56E37" w:rsidRDefault="009851CD">
            <w:pPr>
              <w:pStyle w:val="TableParagraph"/>
              <w:rPr>
                <w:sz w:val="20"/>
              </w:rPr>
            </w:pPr>
            <w:r>
              <w:rPr>
                <w:color w:val="0C0C0C"/>
                <w:w w:val="105"/>
                <w:sz w:val="20"/>
              </w:rPr>
              <w:t>4, 5</w:t>
            </w:r>
          </w:p>
        </w:tc>
      </w:tr>
      <w:tr w:rsidR="00E56E37">
        <w:trPr>
          <w:trHeight w:val="3554"/>
        </w:trPr>
        <w:tc>
          <w:tcPr>
            <w:tcW w:w="2929" w:type="dxa"/>
          </w:tcPr>
          <w:p w:rsidR="00E56E37" w:rsidRDefault="009851CD">
            <w:pPr>
              <w:pStyle w:val="TableParagraph"/>
              <w:spacing w:line="247" w:lineRule="auto"/>
              <w:ind w:right="99"/>
              <w:rPr>
                <w:sz w:val="20"/>
              </w:rPr>
            </w:pPr>
            <w:r>
              <w:rPr>
                <w:color w:val="0C0C0C"/>
                <w:w w:val="105"/>
                <w:sz w:val="20"/>
              </w:rPr>
              <w:t>To increase aspirations so that attendance becomes more relevant to stude</w:t>
            </w:r>
            <w:r w:rsidR="0056137B">
              <w:rPr>
                <w:color w:val="0C0C0C"/>
                <w:w w:val="105"/>
                <w:sz w:val="20"/>
              </w:rPr>
              <w:t>nts, through careers programmes including</w:t>
            </w:r>
            <w:r>
              <w:rPr>
                <w:color w:val="0C0C0C"/>
                <w:w w:val="105"/>
                <w:sz w:val="20"/>
              </w:rPr>
              <w:t xml:space="preserve"> individual car</w:t>
            </w:r>
            <w:r w:rsidR="0056137B">
              <w:rPr>
                <w:color w:val="0C0C0C"/>
                <w:w w:val="105"/>
                <w:sz w:val="20"/>
              </w:rPr>
              <w:t>eers advice</w:t>
            </w:r>
            <w:r>
              <w:rPr>
                <w:color w:val="0C0C0C"/>
                <w:w w:val="105"/>
                <w:sz w:val="20"/>
              </w:rPr>
              <w:t>. Post-16 will include visits to colleges, universities and Waterstone’s scholarship.</w:t>
            </w:r>
          </w:p>
          <w:p w:rsidR="00E56E37" w:rsidRDefault="00E56E37">
            <w:pPr>
              <w:pStyle w:val="TableParagraph"/>
              <w:spacing w:before="3"/>
              <w:ind w:left="0"/>
              <w:rPr>
                <w:sz w:val="31"/>
              </w:rPr>
            </w:pPr>
          </w:p>
          <w:p w:rsidR="00E56E37" w:rsidRDefault="009851CD">
            <w:pPr>
              <w:pStyle w:val="TableParagraph"/>
              <w:spacing w:before="0" w:line="249" w:lineRule="auto"/>
              <w:ind w:right="99"/>
              <w:rPr>
                <w:sz w:val="20"/>
              </w:rPr>
            </w:pPr>
            <w:r>
              <w:rPr>
                <w:color w:val="0C0C0C"/>
                <w:w w:val="105"/>
                <w:sz w:val="20"/>
              </w:rPr>
              <w:t>This activity should also reduce the number of NEETs.</w:t>
            </w:r>
          </w:p>
        </w:tc>
        <w:tc>
          <w:tcPr>
            <w:tcW w:w="4550" w:type="dxa"/>
          </w:tcPr>
          <w:p w:rsidR="00E56E37" w:rsidRDefault="009851CD">
            <w:pPr>
              <w:pStyle w:val="TableParagraph"/>
              <w:spacing w:line="249" w:lineRule="auto"/>
              <w:ind w:left="154" w:right="339"/>
              <w:rPr>
                <w:sz w:val="20"/>
              </w:rPr>
            </w:pPr>
            <w:r>
              <w:rPr>
                <w:color w:val="0C0C0C"/>
                <w:w w:val="105"/>
                <w:sz w:val="20"/>
              </w:rPr>
              <w:t>OFSTED (Pupil Premium report 2014) comment on success where careers advice and experiences are carefully mapped and recorded for all disadvantaged pupils.</w:t>
            </w:r>
          </w:p>
          <w:p w:rsidR="00E56E37" w:rsidRDefault="00E56E37">
            <w:pPr>
              <w:pStyle w:val="TableParagraph"/>
              <w:spacing w:before="10"/>
              <w:ind w:left="0"/>
              <w:rPr>
                <w:sz w:val="29"/>
              </w:rPr>
            </w:pPr>
          </w:p>
          <w:p w:rsidR="00E56E37" w:rsidRDefault="009851CD">
            <w:pPr>
              <w:pStyle w:val="TableParagraph"/>
              <w:spacing w:before="0" w:line="249" w:lineRule="auto"/>
              <w:ind w:left="154" w:right="244"/>
              <w:rPr>
                <w:sz w:val="20"/>
              </w:rPr>
            </w:pPr>
            <w:r>
              <w:rPr>
                <w:color w:val="0C0C0C"/>
                <w:w w:val="105"/>
                <w:sz w:val="20"/>
              </w:rPr>
              <w:t>The EEF reports on focusing interventions based on exposing them to opportunities, particularly those based on higher education which can lead to increased aspirations for students.</w:t>
            </w:r>
          </w:p>
        </w:tc>
        <w:tc>
          <w:tcPr>
            <w:tcW w:w="1438" w:type="dxa"/>
          </w:tcPr>
          <w:p w:rsidR="00E56E37" w:rsidRDefault="009851CD">
            <w:pPr>
              <w:pStyle w:val="TableParagraph"/>
              <w:rPr>
                <w:sz w:val="20"/>
              </w:rPr>
            </w:pPr>
            <w:r>
              <w:rPr>
                <w:color w:val="0C0C0C"/>
                <w:w w:val="105"/>
                <w:sz w:val="20"/>
              </w:rPr>
              <w:t>3, 5</w:t>
            </w:r>
          </w:p>
        </w:tc>
      </w:tr>
      <w:tr w:rsidR="00E56E37">
        <w:trPr>
          <w:trHeight w:val="2253"/>
        </w:trPr>
        <w:tc>
          <w:tcPr>
            <w:tcW w:w="2929" w:type="dxa"/>
          </w:tcPr>
          <w:p w:rsidR="00E56E37" w:rsidRDefault="009851CD">
            <w:pPr>
              <w:pStyle w:val="TableParagraph"/>
              <w:spacing w:line="247" w:lineRule="auto"/>
              <w:ind w:right="99"/>
              <w:rPr>
                <w:sz w:val="20"/>
              </w:rPr>
            </w:pPr>
            <w:r>
              <w:rPr>
                <w:color w:val="0C0C0C"/>
                <w:w w:val="105"/>
                <w:sz w:val="20"/>
              </w:rPr>
              <w:t>To improve transition for students from KS2 to KS3 through an enhanced programme for disadvantaged students, including visits to the school and Inclusion Centre staff working with pupils at primary school.</w:t>
            </w:r>
          </w:p>
        </w:tc>
        <w:tc>
          <w:tcPr>
            <w:tcW w:w="4550" w:type="dxa"/>
          </w:tcPr>
          <w:p w:rsidR="00E56E37" w:rsidRDefault="00E56E37">
            <w:pPr>
              <w:pStyle w:val="TableParagraph"/>
              <w:spacing w:before="0"/>
              <w:ind w:left="0"/>
              <w:rPr>
                <w:rFonts w:ascii="Times New Roman"/>
                <w:sz w:val="20"/>
              </w:rPr>
            </w:pPr>
          </w:p>
        </w:tc>
        <w:tc>
          <w:tcPr>
            <w:tcW w:w="1438" w:type="dxa"/>
          </w:tcPr>
          <w:p w:rsidR="00E56E37" w:rsidRDefault="009851CD">
            <w:pPr>
              <w:pStyle w:val="TableParagraph"/>
              <w:ind w:left="156"/>
              <w:rPr>
                <w:sz w:val="20"/>
              </w:rPr>
            </w:pPr>
            <w:r>
              <w:rPr>
                <w:color w:val="0C0C0C"/>
                <w:w w:val="105"/>
                <w:sz w:val="20"/>
              </w:rPr>
              <w:t>4, 5</w:t>
            </w:r>
          </w:p>
        </w:tc>
      </w:tr>
      <w:tr w:rsidR="00E56E37">
        <w:trPr>
          <w:trHeight w:val="2433"/>
        </w:trPr>
        <w:tc>
          <w:tcPr>
            <w:tcW w:w="2929" w:type="dxa"/>
          </w:tcPr>
          <w:p w:rsidR="00E56E37" w:rsidRDefault="009851CD">
            <w:pPr>
              <w:pStyle w:val="TableParagraph"/>
              <w:spacing w:line="247" w:lineRule="auto"/>
              <w:rPr>
                <w:sz w:val="20"/>
              </w:rPr>
            </w:pPr>
            <w:r>
              <w:rPr>
                <w:color w:val="0C0C0C"/>
                <w:w w:val="105"/>
                <w:sz w:val="20"/>
              </w:rPr>
              <w:t>To improve attendance through regular tracking by HOY and KS leaders.</w:t>
            </w:r>
          </w:p>
          <w:p w:rsidR="00E56E37" w:rsidRDefault="009851CD">
            <w:pPr>
              <w:pStyle w:val="TableParagraph"/>
              <w:spacing w:before="2" w:line="249" w:lineRule="auto"/>
              <w:rPr>
                <w:sz w:val="20"/>
              </w:rPr>
            </w:pPr>
            <w:r>
              <w:rPr>
                <w:color w:val="0C0C0C"/>
                <w:w w:val="105"/>
                <w:sz w:val="20"/>
              </w:rPr>
              <w:t>Close liaison with Locality Team.</w:t>
            </w:r>
          </w:p>
        </w:tc>
        <w:tc>
          <w:tcPr>
            <w:tcW w:w="4550" w:type="dxa"/>
          </w:tcPr>
          <w:p w:rsidR="00E56E37" w:rsidRDefault="009851CD">
            <w:pPr>
              <w:pStyle w:val="TableParagraph"/>
              <w:spacing w:line="247" w:lineRule="auto"/>
              <w:ind w:left="154" w:right="136"/>
              <w:rPr>
                <w:sz w:val="20"/>
              </w:rPr>
            </w:pPr>
            <w:r>
              <w:rPr>
                <w:color w:val="0C0C0C"/>
                <w:w w:val="105"/>
                <w:sz w:val="20"/>
              </w:rPr>
              <w:t>The National Foundation for Educational Research (2019) reports that on average, the association between being absent from school and KS4 outcomes is worse for disadvantaged pupils than their more affluent peers. The difference is small but statistically significant. For example, if a disadvantaged pupil missed six weeks of school at KS4, their P8 score would be predicted to be an</w:t>
            </w:r>
          </w:p>
          <w:p w:rsidR="00E56E37" w:rsidRDefault="009851CD">
            <w:pPr>
              <w:pStyle w:val="TableParagraph"/>
              <w:spacing w:before="8" w:line="211" w:lineRule="exact"/>
              <w:ind w:left="154"/>
              <w:rPr>
                <w:sz w:val="20"/>
              </w:rPr>
            </w:pPr>
            <w:r>
              <w:rPr>
                <w:color w:val="0C0C0C"/>
                <w:w w:val="105"/>
                <w:sz w:val="20"/>
              </w:rPr>
              <w:t>additional 0.05 lower than a more affluent</w:t>
            </w:r>
          </w:p>
        </w:tc>
        <w:tc>
          <w:tcPr>
            <w:tcW w:w="1438" w:type="dxa"/>
          </w:tcPr>
          <w:p w:rsidR="00E56E37" w:rsidRDefault="009851CD">
            <w:pPr>
              <w:pStyle w:val="TableParagraph"/>
              <w:rPr>
                <w:sz w:val="20"/>
              </w:rPr>
            </w:pPr>
            <w:r>
              <w:rPr>
                <w:color w:val="0C0C0C"/>
                <w:w w:val="103"/>
                <w:sz w:val="20"/>
              </w:rPr>
              <w:t>5</w:t>
            </w:r>
          </w:p>
        </w:tc>
      </w:tr>
    </w:tbl>
    <w:p w:rsidR="00E56E37" w:rsidRDefault="00E56E37">
      <w:pPr>
        <w:rPr>
          <w:sz w:val="20"/>
        </w:rPr>
        <w:sectPr w:rsidR="00E56E37">
          <w:pgSz w:w="12240" w:h="15840"/>
          <w:pgMar w:top="1060" w:right="1620" w:bottom="840" w:left="1480" w:header="0" w:footer="651"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4550"/>
        <w:gridCol w:w="1438"/>
      </w:tblGrid>
      <w:tr w:rsidR="00E56E37">
        <w:trPr>
          <w:trHeight w:val="771"/>
        </w:trPr>
        <w:tc>
          <w:tcPr>
            <w:tcW w:w="2929" w:type="dxa"/>
          </w:tcPr>
          <w:p w:rsidR="00E56E37" w:rsidRDefault="00E56E37">
            <w:pPr>
              <w:pStyle w:val="TableParagraph"/>
              <w:spacing w:before="0"/>
              <w:ind w:left="0"/>
              <w:rPr>
                <w:rFonts w:ascii="Times New Roman"/>
                <w:sz w:val="20"/>
              </w:rPr>
            </w:pPr>
          </w:p>
        </w:tc>
        <w:tc>
          <w:tcPr>
            <w:tcW w:w="4550" w:type="dxa"/>
          </w:tcPr>
          <w:p w:rsidR="00E56E37" w:rsidRDefault="009851CD">
            <w:pPr>
              <w:pStyle w:val="TableParagraph"/>
              <w:spacing w:before="8" w:line="247" w:lineRule="auto"/>
              <w:ind w:left="154" w:right="478"/>
              <w:rPr>
                <w:sz w:val="20"/>
              </w:rPr>
            </w:pPr>
            <w:r>
              <w:rPr>
                <w:color w:val="0C0C0C"/>
                <w:w w:val="105"/>
                <w:sz w:val="20"/>
              </w:rPr>
              <w:t>pupil with the same absence rate. It is therefore critical that we are able to track attendance and target students efficiently.</w:t>
            </w:r>
          </w:p>
        </w:tc>
        <w:tc>
          <w:tcPr>
            <w:tcW w:w="1438" w:type="dxa"/>
          </w:tcPr>
          <w:p w:rsidR="00E56E37" w:rsidRDefault="00E56E37">
            <w:pPr>
              <w:pStyle w:val="TableParagraph"/>
              <w:spacing w:before="0"/>
              <w:ind w:left="0"/>
              <w:rPr>
                <w:rFonts w:ascii="Times New Roman"/>
                <w:sz w:val="20"/>
              </w:rPr>
            </w:pPr>
          </w:p>
        </w:tc>
      </w:tr>
      <w:tr w:rsidR="00E56E37">
        <w:trPr>
          <w:trHeight w:val="1539"/>
        </w:trPr>
        <w:tc>
          <w:tcPr>
            <w:tcW w:w="2929" w:type="dxa"/>
          </w:tcPr>
          <w:p w:rsidR="00E56E37" w:rsidRDefault="0056137B">
            <w:pPr>
              <w:pStyle w:val="TableParagraph"/>
              <w:spacing w:line="247" w:lineRule="auto"/>
              <w:rPr>
                <w:sz w:val="20"/>
              </w:rPr>
            </w:pPr>
            <w:r>
              <w:rPr>
                <w:color w:val="0C0C0C"/>
                <w:w w:val="105"/>
                <w:sz w:val="20"/>
              </w:rPr>
              <w:t>Face to face</w:t>
            </w:r>
            <w:r w:rsidR="009851CD">
              <w:rPr>
                <w:color w:val="0C0C0C"/>
                <w:w w:val="105"/>
                <w:sz w:val="20"/>
              </w:rPr>
              <w:t xml:space="preserve"> parents’ evening</w:t>
            </w:r>
            <w:r>
              <w:rPr>
                <w:color w:val="0C0C0C"/>
                <w:w w:val="105"/>
                <w:sz w:val="20"/>
              </w:rPr>
              <w:t>s</w:t>
            </w:r>
            <w:r w:rsidR="009851CD">
              <w:rPr>
                <w:color w:val="0C0C0C"/>
                <w:w w:val="105"/>
                <w:sz w:val="20"/>
              </w:rPr>
              <w:t xml:space="preserve"> to e</w:t>
            </w:r>
            <w:r>
              <w:rPr>
                <w:color w:val="0C0C0C"/>
                <w:w w:val="105"/>
                <w:sz w:val="20"/>
              </w:rPr>
              <w:t>nable greater access by parents, with Heads of Year contacting PP parents to encourage attendance and offer alternative meetings where necessary.</w:t>
            </w:r>
          </w:p>
        </w:tc>
        <w:tc>
          <w:tcPr>
            <w:tcW w:w="4550" w:type="dxa"/>
          </w:tcPr>
          <w:p w:rsidR="00E56E37" w:rsidRDefault="009851CD">
            <w:pPr>
              <w:pStyle w:val="TableParagraph"/>
              <w:spacing w:line="247" w:lineRule="auto"/>
              <w:ind w:left="154" w:right="198"/>
              <w:rPr>
                <w:sz w:val="20"/>
              </w:rPr>
            </w:pPr>
            <w:r>
              <w:rPr>
                <w:color w:val="0C0C0C"/>
                <w:w w:val="105"/>
                <w:sz w:val="20"/>
              </w:rPr>
              <w:t>The EEF report that Improving parental engagement can have a moderate impact on progress. The EEF note that developing effective parental engagement to improve children’s attainment is challenging, but the use of technology can support this.</w:t>
            </w:r>
          </w:p>
        </w:tc>
        <w:tc>
          <w:tcPr>
            <w:tcW w:w="1438" w:type="dxa"/>
          </w:tcPr>
          <w:p w:rsidR="00E56E37" w:rsidRDefault="009851CD">
            <w:pPr>
              <w:pStyle w:val="TableParagraph"/>
              <w:rPr>
                <w:sz w:val="20"/>
              </w:rPr>
            </w:pPr>
            <w:r>
              <w:rPr>
                <w:color w:val="0C0C0C"/>
                <w:w w:val="105"/>
                <w:sz w:val="20"/>
              </w:rPr>
              <w:t>1, 4, 5</w:t>
            </w:r>
          </w:p>
        </w:tc>
      </w:tr>
    </w:tbl>
    <w:p w:rsidR="00E56E37" w:rsidRDefault="00E56E37">
      <w:pPr>
        <w:pStyle w:val="BodyText"/>
        <w:rPr>
          <w:sz w:val="20"/>
        </w:rPr>
      </w:pPr>
    </w:p>
    <w:p w:rsidR="00E56E37" w:rsidRDefault="00E56E37">
      <w:pPr>
        <w:pStyle w:val="BodyText"/>
        <w:spacing w:before="7"/>
        <w:rPr>
          <w:sz w:val="23"/>
        </w:rPr>
      </w:pPr>
    </w:p>
    <w:p w:rsidR="00E56E37" w:rsidRDefault="009851CD">
      <w:pPr>
        <w:pStyle w:val="Heading3"/>
      </w:pPr>
      <w:r>
        <w:rPr>
          <w:color w:val="0F4F75"/>
        </w:rPr>
        <w:t>Total budgeted cost: £179616</w:t>
      </w:r>
    </w:p>
    <w:p w:rsidR="00E56E37" w:rsidRDefault="00E56E37">
      <w:pPr>
        <w:sectPr w:rsidR="00E56E37">
          <w:pgSz w:w="12240" w:h="15840"/>
          <w:pgMar w:top="1060" w:right="1620" w:bottom="920" w:left="1480" w:header="0" w:footer="651" w:gutter="0"/>
          <w:cols w:space="720"/>
        </w:sectPr>
      </w:pPr>
    </w:p>
    <w:p w:rsidR="00E56E37" w:rsidRDefault="009851CD">
      <w:pPr>
        <w:spacing w:before="70" w:line="249" w:lineRule="auto"/>
        <w:ind w:left="103"/>
        <w:rPr>
          <w:rFonts w:ascii="Arial"/>
          <w:b/>
          <w:sz w:val="33"/>
        </w:rPr>
      </w:pPr>
      <w:r>
        <w:rPr>
          <w:rFonts w:ascii="Arial"/>
          <w:b/>
          <w:color w:val="0F4F75"/>
          <w:sz w:val="33"/>
        </w:rPr>
        <w:lastRenderedPageBreak/>
        <w:t>Part B: Review of outcomes in the previous academic year</w:t>
      </w:r>
    </w:p>
    <w:p w:rsidR="00E56E37" w:rsidRDefault="00E56E37">
      <w:pPr>
        <w:pStyle w:val="BodyText"/>
        <w:spacing w:before="11"/>
        <w:rPr>
          <w:rFonts w:ascii="Arial"/>
          <w:b/>
          <w:sz w:val="37"/>
        </w:rPr>
      </w:pPr>
    </w:p>
    <w:p w:rsidR="00E56E37" w:rsidRDefault="009851CD">
      <w:pPr>
        <w:ind w:left="103"/>
        <w:rPr>
          <w:rFonts w:ascii="Arial"/>
          <w:b/>
          <w:sz w:val="30"/>
        </w:rPr>
      </w:pPr>
      <w:r>
        <w:rPr>
          <w:rFonts w:ascii="Arial"/>
          <w:b/>
          <w:color w:val="0F4F75"/>
          <w:sz w:val="30"/>
        </w:rPr>
        <w:t>Pupil premium strategy outcomes</w:t>
      </w:r>
    </w:p>
    <w:p w:rsidR="00E56E37" w:rsidRDefault="009851CD">
      <w:pPr>
        <w:pStyle w:val="BodyText"/>
        <w:spacing w:before="232" w:line="295" w:lineRule="auto"/>
        <w:ind w:left="103"/>
      </w:pPr>
      <w:r>
        <w:rPr>
          <w:color w:val="0C0C0C"/>
        </w:rPr>
        <w:t>This details the impact that our pupil premium activity had on pupils in the 2020 to 2021 academic year.</w:t>
      </w:r>
    </w:p>
    <w:p w:rsidR="00E56E37" w:rsidRDefault="00E56E37">
      <w:pPr>
        <w:pStyle w:val="BodyText"/>
        <w:spacing w:before="4"/>
        <w:rPr>
          <w:sz w:val="20"/>
        </w:rPr>
      </w:pPr>
    </w:p>
    <w:p w:rsidR="00E56E37" w:rsidRDefault="009851CD">
      <w:pPr>
        <w:pStyle w:val="BodyText"/>
        <w:spacing w:line="295" w:lineRule="auto"/>
        <w:ind w:left="211" w:right="318"/>
      </w:pPr>
      <w:r>
        <w:rPr>
          <w:noProof/>
          <w:lang w:val="en-GB" w:eastAsia="en-GB"/>
        </w:rPr>
        <mc:AlternateContent>
          <mc:Choice Requires="wps">
            <w:drawing>
              <wp:anchor distT="0" distB="0" distL="114300" distR="114300" simplePos="0" relativeHeight="487272448" behindDoc="1" locked="0" layoutInCell="1" allowOverlap="1">
                <wp:simplePos x="0" y="0"/>
                <wp:positionH relativeFrom="page">
                  <wp:posOffset>1005840</wp:posOffset>
                </wp:positionH>
                <wp:positionV relativeFrom="paragraph">
                  <wp:posOffset>-8890</wp:posOffset>
                </wp:positionV>
                <wp:extent cx="5672455" cy="5957570"/>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2455" cy="5957570"/>
                        </a:xfrm>
                        <a:custGeom>
                          <a:avLst/>
                          <a:gdLst>
                            <a:gd name="T0" fmla="+- 0 10517 1584"/>
                            <a:gd name="T1" fmla="*/ T0 w 8933"/>
                            <a:gd name="T2" fmla="+- 0 -14 -14"/>
                            <a:gd name="T3" fmla="*/ -14 h 9382"/>
                            <a:gd name="T4" fmla="+- 0 10507 1584"/>
                            <a:gd name="T5" fmla="*/ T4 w 8933"/>
                            <a:gd name="T6" fmla="+- 0 -14 -14"/>
                            <a:gd name="T7" fmla="*/ -14 h 9382"/>
                            <a:gd name="T8" fmla="+- 0 10507 1584"/>
                            <a:gd name="T9" fmla="*/ T8 w 8933"/>
                            <a:gd name="T10" fmla="+- 0 -5 -14"/>
                            <a:gd name="T11" fmla="*/ -5 h 9382"/>
                            <a:gd name="T12" fmla="+- 0 10507 1584"/>
                            <a:gd name="T13" fmla="*/ T12 w 8933"/>
                            <a:gd name="T14" fmla="+- 0 9358 -14"/>
                            <a:gd name="T15" fmla="*/ 9358 h 9382"/>
                            <a:gd name="T16" fmla="+- 0 1591 1584"/>
                            <a:gd name="T17" fmla="*/ T16 w 8933"/>
                            <a:gd name="T18" fmla="+- 0 9358 -14"/>
                            <a:gd name="T19" fmla="*/ 9358 h 9382"/>
                            <a:gd name="T20" fmla="+- 0 1591 1584"/>
                            <a:gd name="T21" fmla="*/ T20 w 8933"/>
                            <a:gd name="T22" fmla="+- 0 -5 -14"/>
                            <a:gd name="T23" fmla="*/ -5 h 9382"/>
                            <a:gd name="T24" fmla="+- 0 10507 1584"/>
                            <a:gd name="T25" fmla="*/ T24 w 8933"/>
                            <a:gd name="T26" fmla="+- 0 -5 -14"/>
                            <a:gd name="T27" fmla="*/ -5 h 9382"/>
                            <a:gd name="T28" fmla="+- 0 10507 1584"/>
                            <a:gd name="T29" fmla="*/ T28 w 8933"/>
                            <a:gd name="T30" fmla="+- 0 -14 -14"/>
                            <a:gd name="T31" fmla="*/ -14 h 9382"/>
                            <a:gd name="T32" fmla="+- 0 1584 1584"/>
                            <a:gd name="T33" fmla="*/ T32 w 8933"/>
                            <a:gd name="T34" fmla="+- 0 -14 -14"/>
                            <a:gd name="T35" fmla="*/ -14 h 9382"/>
                            <a:gd name="T36" fmla="+- 0 1584 1584"/>
                            <a:gd name="T37" fmla="*/ T36 w 8933"/>
                            <a:gd name="T38" fmla="+- 0 -5 -14"/>
                            <a:gd name="T39" fmla="*/ -5 h 9382"/>
                            <a:gd name="T40" fmla="+- 0 1584 1584"/>
                            <a:gd name="T41" fmla="*/ T40 w 8933"/>
                            <a:gd name="T42" fmla="+- 0 9358 -14"/>
                            <a:gd name="T43" fmla="*/ 9358 h 9382"/>
                            <a:gd name="T44" fmla="+- 0 1584 1584"/>
                            <a:gd name="T45" fmla="*/ T44 w 8933"/>
                            <a:gd name="T46" fmla="+- 0 9367 -14"/>
                            <a:gd name="T47" fmla="*/ 9367 h 9382"/>
                            <a:gd name="T48" fmla="+- 0 1591 1584"/>
                            <a:gd name="T49" fmla="*/ T48 w 8933"/>
                            <a:gd name="T50" fmla="+- 0 9367 -14"/>
                            <a:gd name="T51" fmla="*/ 9367 h 9382"/>
                            <a:gd name="T52" fmla="+- 0 10507 1584"/>
                            <a:gd name="T53" fmla="*/ T52 w 8933"/>
                            <a:gd name="T54" fmla="+- 0 9367 -14"/>
                            <a:gd name="T55" fmla="*/ 9367 h 9382"/>
                            <a:gd name="T56" fmla="+- 0 10517 1584"/>
                            <a:gd name="T57" fmla="*/ T56 w 8933"/>
                            <a:gd name="T58" fmla="+- 0 9367 -14"/>
                            <a:gd name="T59" fmla="*/ 9367 h 9382"/>
                            <a:gd name="T60" fmla="+- 0 10517 1584"/>
                            <a:gd name="T61" fmla="*/ T60 w 8933"/>
                            <a:gd name="T62" fmla="+- 0 -14 -14"/>
                            <a:gd name="T63" fmla="*/ -14 h 9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933" h="9382">
                              <a:moveTo>
                                <a:pt x="8933" y="0"/>
                              </a:moveTo>
                              <a:lnTo>
                                <a:pt x="8923" y="0"/>
                              </a:lnTo>
                              <a:lnTo>
                                <a:pt x="8923" y="9"/>
                              </a:lnTo>
                              <a:lnTo>
                                <a:pt x="8923" y="9372"/>
                              </a:lnTo>
                              <a:lnTo>
                                <a:pt x="7" y="9372"/>
                              </a:lnTo>
                              <a:lnTo>
                                <a:pt x="7" y="9"/>
                              </a:lnTo>
                              <a:lnTo>
                                <a:pt x="8923" y="9"/>
                              </a:lnTo>
                              <a:lnTo>
                                <a:pt x="8923" y="0"/>
                              </a:lnTo>
                              <a:lnTo>
                                <a:pt x="0" y="0"/>
                              </a:lnTo>
                              <a:lnTo>
                                <a:pt x="0" y="9"/>
                              </a:lnTo>
                              <a:lnTo>
                                <a:pt x="0" y="9372"/>
                              </a:lnTo>
                              <a:lnTo>
                                <a:pt x="0" y="9381"/>
                              </a:lnTo>
                              <a:lnTo>
                                <a:pt x="7" y="9381"/>
                              </a:lnTo>
                              <a:lnTo>
                                <a:pt x="8923" y="9381"/>
                              </a:lnTo>
                              <a:lnTo>
                                <a:pt x="8933" y="9381"/>
                              </a:lnTo>
                              <a:lnTo>
                                <a:pt x="89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CB13C" id="Freeform 3" o:spid="_x0000_s1026" style="position:absolute;margin-left:79.2pt;margin-top:-.7pt;width:446.65pt;height:469.1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33,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" path="m8933,r-10,l8923,9r,9363l7,9372,7,9r8916,l8923,,,,,9,,9372r,9l7,9381r8916,l8933,9381,8933,xe" fillcolor="black" stroked="f">
                <v:path arrowok="t" o:connecttype="custom" o:connectlocs="5672455,-8890;5666105,-8890;5666105,-3175;5666105,5942330;4445,5942330;4445,-3175;5666105,-3175;5666105,-8890;0,-8890;0,-3175;0,5942330;0,5948045;4445,5948045;5666105,5948045;5672455,5948045;5672455,-8890" o:connectangles="0,0,0,0,0,0,0,0,0,0,0,0,0,0,0,0"/>
                <w10:wrap anchorx="page"/>
              </v:shape>
            </w:pict>
          </mc:Fallback>
        </mc:AlternateContent>
      </w:r>
      <w:r>
        <w:rPr>
          <w:color w:val="0C0C0C"/>
        </w:rPr>
        <w:t>Our progress 8 data shows that for the year 2020/2021, pupil premium students achieved a positive progress 8 score of 0.16 (compared to 1.5 for non-disadvantaged), This</w:t>
      </w:r>
      <w:r>
        <w:rPr>
          <w:color w:val="0C0C0C"/>
          <w:spacing w:val="5"/>
        </w:rPr>
        <w:t xml:space="preserve"> </w:t>
      </w:r>
      <w:r>
        <w:rPr>
          <w:color w:val="0C0C0C"/>
        </w:rPr>
        <w:t>is</w:t>
      </w:r>
      <w:r>
        <w:rPr>
          <w:color w:val="0C0C0C"/>
          <w:spacing w:val="7"/>
        </w:rPr>
        <w:t xml:space="preserve"> </w:t>
      </w:r>
      <w:r>
        <w:rPr>
          <w:color w:val="0C0C0C"/>
        </w:rPr>
        <w:t>a</w:t>
      </w:r>
      <w:r>
        <w:rPr>
          <w:color w:val="0C0C0C"/>
          <w:spacing w:val="8"/>
        </w:rPr>
        <w:t xml:space="preserve"> </w:t>
      </w:r>
      <w:r>
        <w:rPr>
          <w:color w:val="0C0C0C"/>
        </w:rPr>
        <w:t>gap</w:t>
      </w:r>
      <w:r>
        <w:rPr>
          <w:color w:val="0C0C0C"/>
          <w:spacing w:val="5"/>
        </w:rPr>
        <w:t xml:space="preserve"> </w:t>
      </w:r>
      <w:r>
        <w:rPr>
          <w:color w:val="0C0C0C"/>
        </w:rPr>
        <w:t>of</w:t>
      </w:r>
      <w:r>
        <w:rPr>
          <w:color w:val="0C0C0C"/>
          <w:spacing w:val="5"/>
        </w:rPr>
        <w:t xml:space="preserve"> </w:t>
      </w:r>
      <w:r>
        <w:rPr>
          <w:color w:val="0C0C0C"/>
        </w:rPr>
        <w:t>1.34.</w:t>
      </w:r>
      <w:r>
        <w:rPr>
          <w:color w:val="0C0C0C"/>
          <w:spacing w:val="7"/>
        </w:rPr>
        <w:t xml:space="preserve"> </w:t>
      </w:r>
      <w:r>
        <w:rPr>
          <w:color w:val="0C0C0C"/>
        </w:rPr>
        <w:t>The</w:t>
      </w:r>
      <w:r>
        <w:rPr>
          <w:color w:val="0C0C0C"/>
          <w:spacing w:val="8"/>
        </w:rPr>
        <w:t xml:space="preserve"> </w:t>
      </w:r>
      <w:r>
        <w:rPr>
          <w:color w:val="0C0C0C"/>
        </w:rPr>
        <w:t>largest</w:t>
      </w:r>
      <w:r>
        <w:rPr>
          <w:color w:val="0C0C0C"/>
          <w:spacing w:val="10"/>
        </w:rPr>
        <w:t xml:space="preserve"> </w:t>
      </w:r>
      <w:r>
        <w:rPr>
          <w:color w:val="0C0C0C"/>
        </w:rPr>
        <w:t>gaps</w:t>
      </w:r>
      <w:r>
        <w:rPr>
          <w:color w:val="0C0C0C"/>
          <w:spacing w:val="7"/>
        </w:rPr>
        <w:t xml:space="preserve"> </w:t>
      </w:r>
      <w:r>
        <w:rPr>
          <w:color w:val="0C0C0C"/>
        </w:rPr>
        <w:t>were</w:t>
      </w:r>
      <w:r>
        <w:rPr>
          <w:color w:val="0C0C0C"/>
          <w:spacing w:val="8"/>
        </w:rPr>
        <w:t xml:space="preserve"> </w:t>
      </w:r>
      <w:r>
        <w:rPr>
          <w:color w:val="0C0C0C"/>
        </w:rPr>
        <w:t>in</w:t>
      </w:r>
      <w:r>
        <w:rPr>
          <w:color w:val="0C0C0C"/>
          <w:spacing w:val="7"/>
        </w:rPr>
        <w:t xml:space="preserve"> </w:t>
      </w:r>
      <w:r>
        <w:rPr>
          <w:color w:val="0C0C0C"/>
        </w:rPr>
        <w:t>English</w:t>
      </w:r>
      <w:r>
        <w:rPr>
          <w:color w:val="0C0C0C"/>
          <w:spacing w:val="8"/>
        </w:rPr>
        <w:t xml:space="preserve"> </w:t>
      </w:r>
      <w:r>
        <w:rPr>
          <w:color w:val="0C0C0C"/>
        </w:rPr>
        <w:t>and</w:t>
      </w:r>
      <w:r>
        <w:rPr>
          <w:color w:val="0C0C0C"/>
          <w:spacing w:val="5"/>
        </w:rPr>
        <w:t xml:space="preserve"> </w:t>
      </w:r>
      <w:r>
        <w:rPr>
          <w:color w:val="0C0C0C"/>
        </w:rPr>
        <w:t>non-Ebacc</w:t>
      </w:r>
      <w:r>
        <w:rPr>
          <w:color w:val="0C0C0C"/>
          <w:spacing w:val="11"/>
        </w:rPr>
        <w:t xml:space="preserve"> </w:t>
      </w:r>
      <w:r>
        <w:rPr>
          <w:color w:val="0C0C0C"/>
        </w:rPr>
        <w:t>subjects.</w:t>
      </w:r>
    </w:p>
    <w:p w:rsidR="00E56E37" w:rsidRDefault="00E56E37">
      <w:pPr>
        <w:pStyle w:val="BodyText"/>
        <w:spacing w:before="7"/>
        <w:rPr>
          <w:sz w:val="19"/>
        </w:rPr>
      </w:pPr>
    </w:p>
    <w:p w:rsidR="00E56E37" w:rsidRDefault="009851CD">
      <w:pPr>
        <w:pStyle w:val="BodyText"/>
        <w:spacing w:before="1" w:line="295" w:lineRule="auto"/>
        <w:ind w:left="211" w:right="473"/>
      </w:pPr>
      <w:r>
        <w:rPr>
          <w:color w:val="0C0C0C"/>
        </w:rPr>
        <w:t>Attainment 8 data shows that disadvantaged students achieved an average score of 31.74, compared to 53.83 for our non-disadvantaged cohort. English and mathematics  at 5+ was 13% for disadvantaged compared to 56.7% for</w:t>
      </w:r>
      <w:r>
        <w:rPr>
          <w:color w:val="0C0C0C"/>
          <w:spacing w:val="8"/>
        </w:rPr>
        <w:t xml:space="preserve"> </w:t>
      </w:r>
      <w:r>
        <w:rPr>
          <w:color w:val="0C0C0C"/>
        </w:rPr>
        <w:t>non-disadvantaged.</w:t>
      </w:r>
    </w:p>
    <w:p w:rsidR="00E56E37" w:rsidRDefault="00E56E37">
      <w:pPr>
        <w:pStyle w:val="BodyText"/>
        <w:spacing w:before="9"/>
        <w:rPr>
          <w:sz w:val="19"/>
        </w:rPr>
      </w:pPr>
    </w:p>
    <w:p w:rsidR="00E56E37" w:rsidRDefault="009851CD">
      <w:pPr>
        <w:pStyle w:val="BodyText"/>
        <w:ind w:left="211"/>
      </w:pPr>
      <w:r>
        <w:rPr>
          <w:color w:val="0C0C0C"/>
        </w:rPr>
        <w:t>At the end of year 10, our current year 11 cohort were predicting a progress 8 score of</w:t>
      </w:r>
    </w:p>
    <w:p w:rsidR="00E56E37" w:rsidRDefault="009851CD">
      <w:pPr>
        <w:pStyle w:val="BodyText"/>
        <w:spacing w:before="57" w:line="295" w:lineRule="auto"/>
        <w:ind w:left="211" w:right="473"/>
      </w:pPr>
      <w:r>
        <w:rPr>
          <w:color w:val="0C0C0C"/>
        </w:rPr>
        <w:t>0.22 (compared to 0.85 for the non-disadvantaged cohort). The strategies above for this academic year will be put in place with the intention of narrowing this gap further before the end of the academic year.</w:t>
      </w:r>
    </w:p>
    <w:p w:rsidR="00E56E37" w:rsidRDefault="00E56E37">
      <w:pPr>
        <w:pStyle w:val="BodyText"/>
        <w:spacing w:before="9"/>
        <w:rPr>
          <w:sz w:val="19"/>
        </w:rPr>
      </w:pPr>
    </w:p>
    <w:p w:rsidR="00E56E37" w:rsidRDefault="009851CD">
      <w:pPr>
        <w:pStyle w:val="BodyText"/>
        <w:spacing w:line="295" w:lineRule="auto"/>
        <w:ind w:left="211" w:right="473"/>
      </w:pPr>
      <w:r>
        <w:rPr>
          <w:color w:val="0C0C0C"/>
        </w:rPr>
        <w:t>In terms of access to the curriculum during the pandemic, DfE laptops were issued to pupil premium students, SEN students and those that requested access. This enabled them to access tasks set over Microsoft Teams, including live lessons in some  subjects.</w:t>
      </w:r>
    </w:p>
    <w:p w:rsidR="00E56E37" w:rsidRDefault="00E56E37">
      <w:pPr>
        <w:pStyle w:val="BodyText"/>
        <w:spacing w:before="6"/>
        <w:rPr>
          <w:sz w:val="19"/>
        </w:rPr>
      </w:pPr>
    </w:p>
    <w:p w:rsidR="00E56E37" w:rsidRDefault="009851CD">
      <w:pPr>
        <w:pStyle w:val="BodyText"/>
        <w:spacing w:line="295" w:lineRule="auto"/>
        <w:ind w:left="211" w:right="356"/>
      </w:pPr>
      <w:r>
        <w:rPr>
          <w:color w:val="0C0C0C"/>
        </w:rPr>
        <w:t>The Heads of School, Inclusion Manager and SENCO set up individual contact with  pupil premium students in their year group over lockdown, and 95% of those students were in regular contact with the school (either through completing tasks and submitting work</w:t>
      </w:r>
      <w:r>
        <w:rPr>
          <w:color w:val="0C0C0C"/>
          <w:spacing w:val="13"/>
        </w:rPr>
        <w:t xml:space="preserve"> </w:t>
      </w:r>
      <w:r>
        <w:rPr>
          <w:color w:val="0C0C0C"/>
        </w:rPr>
        <w:t>to</w:t>
      </w:r>
      <w:r>
        <w:rPr>
          <w:color w:val="0C0C0C"/>
          <w:spacing w:val="16"/>
        </w:rPr>
        <w:t xml:space="preserve"> </w:t>
      </w:r>
      <w:r>
        <w:rPr>
          <w:color w:val="0C0C0C"/>
        </w:rPr>
        <w:t>their</w:t>
      </w:r>
      <w:r>
        <w:rPr>
          <w:color w:val="0C0C0C"/>
          <w:spacing w:val="11"/>
        </w:rPr>
        <w:t xml:space="preserve"> </w:t>
      </w:r>
      <w:r>
        <w:rPr>
          <w:color w:val="0C0C0C"/>
        </w:rPr>
        <w:t>class</w:t>
      </w:r>
      <w:r>
        <w:rPr>
          <w:color w:val="0C0C0C"/>
          <w:spacing w:val="11"/>
        </w:rPr>
        <w:t xml:space="preserve"> </w:t>
      </w:r>
      <w:r>
        <w:rPr>
          <w:color w:val="0C0C0C"/>
        </w:rPr>
        <w:t>teachers,</w:t>
      </w:r>
      <w:r>
        <w:rPr>
          <w:color w:val="0C0C0C"/>
          <w:spacing w:val="14"/>
        </w:rPr>
        <w:t xml:space="preserve"> </w:t>
      </w:r>
      <w:r>
        <w:rPr>
          <w:color w:val="0C0C0C"/>
        </w:rPr>
        <w:t>contact</w:t>
      </w:r>
      <w:r>
        <w:rPr>
          <w:color w:val="0C0C0C"/>
          <w:spacing w:val="12"/>
        </w:rPr>
        <w:t xml:space="preserve"> </w:t>
      </w:r>
      <w:r>
        <w:rPr>
          <w:color w:val="0C0C0C"/>
        </w:rPr>
        <w:t>with</w:t>
      </w:r>
      <w:r>
        <w:rPr>
          <w:color w:val="0C0C0C"/>
          <w:spacing w:val="14"/>
        </w:rPr>
        <w:t xml:space="preserve"> </w:t>
      </w:r>
      <w:r>
        <w:rPr>
          <w:color w:val="0C0C0C"/>
        </w:rPr>
        <w:t>tutors</w:t>
      </w:r>
      <w:r>
        <w:rPr>
          <w:color w:val="0C0C0C"/>
          <w:spacing w:val="16"/>
        </w:rPr>
        <w:t xml:space="preserve"> </w:t>
      </w:r>
      <w:r>
        <w:rPr>
          <w:color w:val="0C0C0C"/>
        </w:rPr>
        <w:t>and</w:t>
      </w:r>
      <w:r>
        <w:rPr>
          <w:color w:val="0C0C0C"/>
          <w:spacing w:val="12"/>
        </w:rPr>
        <w:t xml:space="preserve"> </w:t>
      </w:r>
      <w:r>
        <w:rPr>
          <w:color w:val="0C0C0C"/>
        </w:rPr>
        <w:t>also</w:t>
      </w:r>
      <w:r>
        <w:rPr>
          <w:color w:val="0C0C0C"/>
          <w:spacing w:val="11"/>
        </w:rPr>
        <w:t xml:space="preserve"> </w:t>
      </w:r>
      <w:r>
        <w:rPr>
          <w:color w:val="0C0C0C"/>
        </w:rPr>
        <w:t>their</w:t>
      </w:r>
      <w:r>
        <w:rPr>
          <w:color w:val="0C0C0C"/>
          <w:spacing w:val="11"/>
        </w:rPr>
        <w:t xml:space="preserve"> </w:t>
      </w:r>
      <w:r>
        <w:rPr>
          <w:color w:val="0C0C0C"/>
        </w:rPr>
        <w:t>deputy</w:t>
      </w:r>
      <w:r>
        <w:rPr>
          <w:color w:val="0C0C0C"/>
          <w:spacing w:val="10"/>
        </w:rPr>
        <w:t xml:space="preserve"> </w:t>
      </w:r>
      <w:r>
        <w:rPr>
          <w:color w:val="0C0C0C"/>
        </w:rPr>
        <w:t>college</w:t>
      </w:r>
      <w:r>
        <w:rPr>
          <w:color w:val="0C0C0C"/>
          <w:spacing w:val="15"/>
        </w:rPr>
        <w:t xml:space="preserve"> </w:t>
      </w:r>
      <w:r>
        <w:rPr>
          <w:color w:val="0C0C0C"/>
        </w:rPr>
        <w:t>leaders).</w:t>
      </w:r>
    </w:p>
    <w:p w:rsidR="00E56E37" w:rsidRDefault="00E56E37">
      <w:pPr>
        <w:pStyle w:val="BodyText"/>
        <w:spacing w:before="8"/>
        <w:rPr>
          <w:sz w:val="19"/>
        </w:rPr>
      </w:pPr>
    </w:p>
    <w:p w:rsidR="00E56E37" w:rsidRDefault="009851CD">
      <w:pPr>
        <w:pStyle w:val="BodyText"/>
        <w:spacing w:line="295" w:lineRule="auto"/>
        <w:ind w:left="211" w:right="318"/>
      </w:pPr>
      <w:r>
        <w:rPr>
          <w:color w:val="0C0C0C"/>
        </w:rPr>
        <w:t>Attendance figures for 2020-2021 show that for Pupil Premium students our attendance was 87.21% and for non-pupil premium 94.48%. It can be seen from the strategy statement that boosting attendance is one of our most important aims over the next 3 years.</w:t>
      </w:r>
    </w:p>
    <w:p w:rsidR="00E56E37" w:rsidRDefault="00E56E37">
      <w:pPr>
        <w:pStyle w:val="BodyText"/>
        <w:spacing w:before="8"/>
        <w:rPr>
          <w:sz w:val="19"/>
        </w:rPr>
      </w:pPr>
    </w:p>
    <w:p w:rsidR="00E56E37" w:rsidRDefault="009851CD">
      <w:pPr>
        <w:pStyle w:val="BodyText"/>
        <w:spacing w:line="295" w:lineRule="auto"/>
        <w:ind w:left="211" w:right="318"/>
      </w:pPr>
      <w:r>
        <w:rPr>
          <w:color w:val="0C0C0C"/>
        </w:rPr>
        <w:t>During the academic year, we used on-line meetings at virtual parents’ evening to improve accessibility for parents who might otherwise not have been able to attend a physical parents evening.</w:t>
      </w:r>
    </w:p>
    <w:p w:rsidR="00E56E37" w:rsidRDefault="00E56E37">
      <w:pPr>
        <w:spacing w:line="295" w:lineRule="auto"/>
        <w:sectPr w:rsidR="00E56E37">
          <w:footerReference w:type="default" r:id="rId8"/>
          <w:pgSz w:w="12240" w:h="15840"/>
          <w:pgMar w:top="1000" w:right="1620" w:bottom="920" w:left="1480" w:header="0" w:footer="731" w:gutter="0"/>
          <w:cols w:space="720"/>
        </w:sectPr>
      </w:pPr>
    </w:p>
    <w:p w:rsidR="00E56E37" w:rsidRDefault="009851CD">
      <w:pPr>
        <w:pStyle w:val="Heading2"/>
        <w:spacing w:before="65"/>
      </w:pPr>
      <w:r>
        <w:rPr>
          <w:color w:val="0F4F75"/>
        </w:rPr>
        <w:lastRenderedPageBreak/>
        <w:t>Externally provided programmes</w:t>
      </w:r>
    </w:p>
    <w:p w:rsidR="00E56E37" w:rsidRDefault="009851CD">
      <w:pPr>
        <w:spacing w:before="234" w:line="295" w:lineRule="auto"/>
        <w:ind w:left="103" w:right="356"/>
        <w:rPr>
          <w:rFonts w:ascii="Arial"/>
          <w:i/>
        </w:rPr>
      </w:pPr>
      <w:r>
        <w:rPr>
          <w:rFonts w:ascii="Arial"/>
          <w:i/>
          <w:color w:val="0C0C0C"/>
        </w:rPr>
        <w:t xml:space="preserve">Please include the names of any non-DfE programmes that you purchased </w:t>
      </w:r>
      <w:r>
        <w:rPr>
          <w:rFonts w:ascii="Arial"/>
          <w:i/>
          <w:color w:val="0C0C0C"/>
          <w:spacing w:val="-3"/>
        </w:rPr>
        <w:t xml:space="preserve">in </w:t>
      </w:r>
      <w:r>
        <w:rPr>
          <w:rFonts w:ascii="Arial"/>
          <w:i/>
          <w:color w:val="0C0C0C"/>
        </w:rPr>
        <w:t>the  previous academic year. This will help the Department for Education identify which ones are popular in</w:t>
      </w:r>
      <w:r>
        <w:rPr>
          <w:rFonts w:ascii="Arial"/>
          <w:i/>
          <w:color w:val="0C0C0C"/>
          <w:spacing w:val="6"/>
        </w:rPr>
        <w:t xml:space="preserve"> </w:t>
      </w:r>
      <w:r>
        <w:rPr>
          <w:rFonts w:ascii="Arial"/>
          <w:i/>
          <w:color w:val="0C0C0C"/>
        </w:rPr>
        <w:t>England</w:t>
      </w:r>
    </w:p>
    <w:p w:rsidR="00E56E37" w:rsidRDefault="00E56E37">
      <w:pPr>
        <w:pStyle w:val="BodyText"/>
        <w:spacing w:before="2"/>
        <w:rPr>
          <w:rFonts w:ascii="Arial"/>
          <w:i/>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4393"/>
      </w:tblGrid>
      <w:tr w:rsidR="00E56E37">
        <w:trPr>
          <w:trHeight w:val="370"/>
        </w:trPr>
        <w:tc>
          <w:tcPr>
            <w:tcW w:w="4525" w:type="dxa"/>
            <w:shd w:val="clear" w:color="auto" w:fill="D8E2E8"/>
          </w:tcPr>
          <w:p w:rsidR="00E56E37" w:rsidRDefault="009851CD">
            <w:pPr>
              <w:pStyle w:val="TableParagraph"/>
              <w:spacing w:before="61"/>
              <w:rPr>
                <w:rFonts w:ascii="Arial"/>
                <w:b/>
              </w:rPr>
            </w:pPr>
            <w:r>
              <w:rPr>
                <w:rFonts w:ascii="Arial"/>
                <w:b/>
                <w:color w:val="0C0C0C"/>
              </w:rPr>
              <w:t>Programme</w:t>
            </w:r>
          </w:p>
        </w:tc>
        <w:tc>
          <w:tcPr>
            <w:tcW w:w="4393" w:type="dxa"/>
            <w:shd w:val="clear" w:color="auto" w:fill="D8E2E8"/>
          </w:tcPr>
          <w:p w:rsidR="00E56E37" w:rsidRDefault="009851CD">
            <w:pPr>
              <w:pStyle w:val="TableParagraph"/>
              <w:spacing w:before="61"/>
              <w:ind w:left="157"/>
              <w:rPr>
                <w:rFonts w:ascii="Arial"/>
                <w:b/>
              </w:rPr>
            </w:pPr>
            <w:r>
              <w:rPr>
                <w:rFonts w:ascii="Arial"/>
                <w:b/>
                <w:color w:val="0C0C0C"/>
              </w:rPr>
              <w:t>Provider</w:t>
            </w:r>
          </w:p>
        </w:tc>
      </w:tr>
      <w:tr w:rsidR="00E56E37">
        <w:trPr>
          <w:trHeight w:val="371"/>
        </w:trPr>
        <w:tc>
          <w:tcPr>
            <w:tcW w:w="4525" w:type="dxa"/>
          </w:tcPr>
          <w:p w:rsidR="00E56E37" w:rsidRDefault="00E56E37">
            <w:pPr>
              <w:pStyle w:val="TableParagraph"/>
              <w:spacing w:before="0"/>
              <w:ind w:left="0"/>
              <w:rPr>
                <w:rFonts w:ascii="Times New Roman"/>
              </w:rPr>
            </w:pPr>
          </w:p>
        </w:tc>
        <w:tc>
          <w:tcPr>
            <w:tcW w:w="4393" w:type="dxa"/>
          </w:tcPr>
          <w:p w:rsidR="00E56E37" w:rsidRDefault="00E56E37">
            <w:pPr>
              <w:pStyle w:val="TableParagraph"/>
              <w:spacing w:before="0"/>
              <w:ind w:left="0"/>
              <w:rPr>
                <w:rFonts w:ascii="Times New Roman"/>
              </w:rPr>
            </w:pPr>
          </w:p>
        </w:tc>
      </w:tr>
      <w:tr w:rsidR="00E56E37">
        <w:trPr>
          <w:trHeight w:val="371"/>
        </w:trPr>
        <w:tc>
          <w:tcPr>
            <w:tcW w:w="4525" w:type="dxa"/>
          </w:tcPr>
          <w:p w:rsidR="00E56E37" w:rsidRDefault="00E56E37">
            <w:pPr>
              <w:pStyle w:val="TableParagraph"/>
              <w:spacing w:before="0"/>
              <w:ind w:left="0"/>
              <w:rPr>
                <w:rFonts w:ascii="Times New Roman"/>
              </w:rPr>
            </w:pPr>
          </w:p>
        </w:tc>
        <w:tc>
          <w:tcPr>
            <w:tcW w:w="4393" w:type="dxa"/>
          </w:tcPr>
          <w:p w:rsidR="00E56E37" w:rsidRDefault="00E56E37">
            <w:pPr>
              <w:pStyle w:val="TableParagraph"/>
              <w:spacing w:before="0"/>
              <w:ind w:left="0"/>
              <w:rPr>
                <w:rFonts w:ascii="Times New Roman"/>
              </w:rPr>
            </w:pPr>
          </w:p>
        </w:tc>
      </w:tr>
    </w:tbl>
    <w:p w:rsidR="00E56E37" w:rsidRDefault="00E56E37">
      <w:pPr>
        <w:pStyle w:val="BodyText"/>
        <w:rPr>
          <w:rFonts w:ascii="Arial"/>
          <w:i/>
          <w:sz w:val="24"/>
        </w:rPr>
      </w:pPr>
    </w:p>
    <w:p w:rsidR="00E56E37" w:rsidRDefault="00E56E37">
      <w:pPr>
        <w:pStyle w:val="BodyText"/>
        <w:spacing w:before="11"/>
        <w:rPr>
          <w:rFonts w:ascii="Arial"/>
          <w:i/>
          <w:sz w:val="24"/>
        </w:rPr>
      </w:pPr>
    </w:p>
    <w:p w:rsidR="00E56E37" w:rsidRDefault="009851CD">
      <w:pPr>
        <w:pStyle w:val="Heading2"/>
      </w:pPr>
      <w:r>
        <w:rPr>
          <w:color w:val="0F4F75"/>
        </w:rPr>
        <w:t>Service pupil premium funding (optional)</w:t>
      </w:r>
    </w:p>
    <w:p w:rsidR="00E56E37" w:rsidRDefault="009851CD">
      <w:pPr>
        <w:spacing w:before="234"/>
        <w:ind w:left="103"/>
        <w:rPr>
          <w:rFonts w:ascii="Arial"/>
          <w:i/>
        </w:rPr>
      </w:pPr>
      <w:r>
        <w:rPr>
          <w:rFonts w:ascii="Arial"/>
          <w:i/>
          <w:color w:val="0C0C0C"/>
        </w:rPr>
        <w:t>For schools that receive this funding, you may wish to provide the following information:</w:t>
      </w:r>
    </w:p>
    <w:p w:rsidR="00E56E37" w:rsidRDefault="00E56E37">
      <w:pPr>
        <w:pStyle w:val="BodyText"/>
        <w:spacing w:before="1" w:after="1"/>
        <w:rPr>
          <w:rFonts w:ascii="Arial"/>
          <w:i/>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4393"/>
      </w:tblGrid>
      <w:tr w:rsidR="00E56E37">
        <w:trPr>
          <w:trHeight w:val="371"/>
        </w:trPr>
        <w:tc>
          <w:tcPr>
            <w:tcW w:w="4525" w:type="dxa"/>
            <w:shd w:val="clear" w:color="auto" w:fill="D8E2E8"/>
          </w:tcPr>
          <w:p w:rsidR="00E56E37" w:rsidRDefault="009851CD">
            <w:pPr>
              <w:pStyle w:val="TableParagraph"/>
              <w:rPr>
                <w:rFonts w:ascii="Arial"/>
                <w:b/>
              </w:rPr>
            </w:pPr>
            <w:r>
              <w:rPr>
                <w:rFonts w:ascii="Arial"/>
                <w:b/>
                <w:color w:val="0C0C0C"/>
              </w:rPr>
              <w:t>Measure</w:t>
            </w:r>
          </w:p>
        </w:tc>
        <w:tc>
          <w:tcPr>
            <w:tcW w:w="4393" w:type="dxa"/>
            <w:shd w:val="clear" w:color="auto" w:fill="D8E2E8"/>
          </w:tcPr>
          <w:p w:rsidR="00E56E37" w:rsidRDefault="009851CD">
            <w:pPr>
              <w:pStyle w:val="TableParagraph"/>
              <w:ind w:left="157"/>
              <w:rPr>
                <w:rFonts w:ascii="Arial"/>
                <w:b/>
              </w:rPr>
            </w:pPr>
            <w:r>
              <w:rPr>
                <w:rFonts w:ascii="Arial"/>
                <w:b/>
                <w:color w:val="0C0C0C"/>
              </w:rPr>
              <w:t>Details</w:t>
            </w:r>
          </w:p>
        </w:tc>
      </w:tr>
      <w:tr w:rsidR="00E56E37">
        <w:trPr>
          <w:trHeight w:val="587"/>
        </w:trPr>
        <w:tc>
          <w:tcPr>
            <w:tcW w:w="4525" w:type="dxa"/>
          </w:tcPr>
          <w:p w:rsidR="00E56E37" w:rsidRDefault="009851CD">
            <w:pPr>
              <w:pStyle w:val="TableParagraph"/>
              <w:spacing w:line="247" w:lineRule="auto"/>
              <w:ind w:right="651"/>
              <w:rPr>
                <w:sz w:val="20"/>
              </w:rPr>
            </w:pPr>
            <w:r>
              <w:rPr>
                <w:w w:val="105"/>
                <w:sz w:val="20"/>
              </w:rPr>
              <w:t>How did you spend your service pupil premium allocation last academic year?</w:t>
            </w:r>
          </w:p>
        </w:tc>
        <w:tc>
          <w:tcPr>
            <w:tcW w:w="4393" w:type="dxa"/>
          </w:tcPr>
          <w:p w:rsidR="00E56E37" w:rsidRDefault="00E56E37">
            <w:pPr>
              <w:pStyle w:val="TableParagraph"/>
              <w:spacing w:before="0"/>
              <w:ind w:left="0"/>
              <w:rPr>
                <w:rFonts w:ascii="Times New Roman"/>
              </w:rPr>
            </w:pPr>
          </w:p>
        </w:tc>
      </w:tr>
      <w:tr w:rsidR="00E56E37">
        <w:trPr>
          <w:trHeight w:val="588"/>
        </w:trPr>
        <w:tc>
          <w:tcPr>
            <w:tcW w:w="4525" w:type="dxa"/>
          </w:tcPr>
          <w:p w:rsidR="00E56E37" w:rsidRDefault="009851CD">
            <w:pPr>
              <w:pStyle w:val="TableParagraph"/>
              <w:spacing w:before="64" w:line="244" w:lineRule="auto"/>
              <w:ind w:right="546"/>
              <w:rPr>
                <w:sz w:val="20"/>
              </w:rPr>
            </w:pPr>
            <w:r>
              <w:rPr>
                <w:w w:val="105"/>
                <w:sz w:val="20"/>
              </w:rPr>
              <w:t>What was the impact of that spending on service pupil premium eligible pupils?</w:t>
            </w:r>
          </w:p>
        </w:tc>
        <w:tc>
          <w:tcPr>
            <w:tcW w:w="4393" w:type="dxa"/>
          </w:tcPr>
          <w:p w:rsidR="00E56E37" w:rsidRDefault="00E56E37">
            <w:pPr>
              <w:pStyle w:val="TableParagraph"/>
              <w:spacing w:before="0"/>
              <w:ind w:left="0"/>
              <w:rPr>
                <w:rFonts w:ascii="Times New Roman"/>
              </w:rPr>
            </w:pPr>
          </w:p>
        </w:tc>
      </w:tr>
    </w:tbl>
    <w:p w:rsidR="00E56E37" w:rsidRDefault="00E56E37">
      <w:pPr>
        <w:rPr>
          <w:rFonts w:ascii="Times New Roman"/>
        </w:rPr>
        <w:sectPr w:rsidR="00E56E37">
          <w:footerReference w:type="default" r:id="rId9"/>
          <w:pgSz w:w="12240" w:h="15840"/>
          <w:pgMar w:top="1000" w:right="1620" w:bottom="920" w:left="1480" w:header="0" w:footer="731" w:gutter="0"/>
          <w:pgNumType w:start="1"/>
          <w:cols w:space="720"/>
        </w:sectPr>
      </w:pPr>
    </w:p>
    <w:p w:rsidR="00E56E37" w:rsidRDefault="009851CD">
      <w:pPr>
        <w:pStyle w:val="Heading1"/>
      </w:pPr>
      <w:r>
        <w:rPr>
          <w:color w:val="0F4F75"/>
        </w:rPr>
        <w:lastRenderedPageBreak/>
        <w:t>Further information (optional)</w:t>
      </w:r>
    </w:p>
    <w:p w:rsidR="00E56E37" w:rsidRDefault="009851CD">
      <w:pPr>
        <w:pStyle w:val="BodyText"/>
        <w:spacing w:before="5"/>
        <w:rPr>
          <w:rFonts w:ascii="Arial"/>
          <w:b/>
          <w:sz w:val="16"/>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1008380</wp:posOffset>
                </wp:positionH>
                <wp:positionV relativeFrom="paragraph">
                  <wp:posOffset>147320</wp:posOffset>
                </wp:positionV>
                <wp:extent cx="5663565" cy="120967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1209675"/>
                        </a:xfrm>
                        <a:prstGeom prst="rect">
                          <a:avLst/>
                        </a:prstGeom>
                        <a:noFill/>
                        <a:ln w="457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6E37" w:rsidRDefault="009851CD">
                            <w:pPr>
                              <w:spacing w:before="119" w:line="295" w:lineRule="auto"/>
                              <w:ind w:left="100" w:right="301"/>
                              <w:rPr>
                                <w:rFonts w:ascii="Arial"/>
                                <w:i/>
                              </w:rPr>
                            </w:pPr>
                            <w:r>
                              <w:rPr>
                                <w:rFonts w:ascii="Arial"/>
                                <w:i/>
                                <w:color w:val="0C0C0C"/>
                              </w:rPr>
                              <w:t>Use this space to provide any further information about your pupil premium strategy. For example, about your strategy planning, or other activity that you are implementing to support disadvantaged pupils, that is not dependent on pupil premium or recovery premium</w:t>
                            </w:r>
                            <w:r>
                              <w:rPr>
                                <w:rFonts w:ascii="Arial"/>
                                <w:i/>
                                <w:color w:val="0C0C0C"/>
                                <w:spacing w:val="3"/>
                              </w:rPr>
                              <w:t xml:space="preserve"> </w:t>
                            </w:r>
                            <w:r>
                              <w:rPr>
                                <w:rFonts w:ascii="Arial"/>
                                <w:i/>
                                <w:color w:val="0C0C0C"/>
                              </w:rPr>
                              <w:t>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4pt;margin-top:11.6pt;width:445.95pt;height:95.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" filled="f" strokeweight=".36pt">
                <v:textbox inset="0,0,0,0">
                  <w:txbxContent>
                    <w:p w:rsidR="00E56E37" w:rsidRDefault="009851CD">
                      <w:pPr>
                        <w:spacing w:before="119" w:line="295" w:lineRule="auto"/>
                        <w:ind w:left="100" w:right="301"/>
                        <w:rPr>
                          <w:rFonts w:ascii="Arial"/>
                          <w:i/>
                        </w:rPr>
                      </w:pPr>
                      <w:r>
                        <w:rPr>
                          <w:rFonts w:ascii="Arial"/>
                          <w:i/>
                          <w:color w:val="0C0C0C"/>
                        </w:rPr>
                        <w:t xml:space="preserve">Use this space to provide any further information about your pupil premium strategy. </w:t>
                      </w:r>
                      <w:r>
                        <w:rPr>
                          <w:rFonts w:ascii="Arial"/>
                          <w:i/>
                          <w:color w:val="0C0C0C"/>
                        </w:rPr>
                        <w:t>For example, about your strategy planning, or other activity that you are implementing to support disadvantaged pupils, that is not dependent on pupil premium or recovery premium</w:t>
                      </w:r>
                      <w:r>
                        <w:rPr>
                          <w:rFonts w:ascii="Arial"/>
                          <w:i/>
                          <w:color w:val="0C0C0C"/>
                          <w:spacing w:val="3"/>
                        </w:rPr>
                        <w:t xml:space="preserve"> </w:t>
                      </w:r>
                      <w:r>
                        <w:rPr>
                          <w:rFonts w:ascii="Arial"/>
                          <w:i/>
                          <w:color w:val="0C0C0C"/>
                        </w:rPr>
                        <w:t>funding.</w:t>
                      </w:r>
                    </w:p>
                  </w:txbxContent>
                </v:textbox>
                <w10:wrap type="topAndBottom" anchorx="page"/>
              </v:shape>
            </w:pict>
          </mc:Fallback>
        </mc:AlternateContent>
      </w:r>
    </w:p>
    <w:sectPr w:rsidR="00E56E37">
      <w:pgSz w:w="12240" w:h="15840"/>
      <w:pgMar w:top="1000" w:right="1620" w:bottom="920" w:left="148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99" w:rsidRDefault="009851CD">
      <w:r>
        <w:separator/>
      </w:r>
    </w:p>
  </w:endnote>
  <w:endnote w:type="continuationSeparator" w:id="0">
    <w:p w:rsidR="00652699" w:rsidRDefault="0098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37" w:rsidRDefault="009851CD">
    <w:pPr>
      <w:pStyle w:val="BodyText"/>
      <w:spacing w:line="14" w:lineRule="auto"/>
      <w:rPr>
        <w:sz w:val="17"/>
      </w:rPr>
    </w:pPr>
    <w:r>
      <w:rPr>
        <w:noProof/>
        <w:lang w:val="en-GB" w:eastAsia="en-GB"/>
      </w:rPr>
      <mc:AlternateContent>
        <mc:Choice Requires="wps">
          <w:drawing>
            <wp:anchor distT="0" distB="0" distL="114300" distR="114300" simplePos="0" relativeHeight="487271936" behindDoc="1" locked="0" layoutInCell="1" allowOverlap="1">
              <wp:simplePos x="0" y="0"/>
              <wp:positionH relativeFrom="page">
                <wp:posOffset>3660775</wp:posOffset>
              </wp:positionH>
              <wp:positionV relativeFrom="page">
                <wp:posOffset>9454515</wp:posOffset>
              </wp:positionV>
              <wp:extent cx="156210" cy="1854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37" w:rsidRDefault="009851CD">
                          <w:pPr>
                            <w:pStyle w:val="BodyText"/>
                            <w:spacing w:before="17"/>
                            <w:ind w:left="60"/>
                          </w:pPr>
                          <w:r>
                            <w:fldChar w:fldCharType="begin"/>
                          </w:r>
                          <w:r>
                            <w:rPr>
                              <w:color w:val="0C0C0C"/>
                              <w:w w:val="102"/>
                            </w:rPr>
                            <w:instrText xml:space="preserve"> PAGE </w:instrText>
                          </w:r>
                          <w:r>
                            <w:fldChar w:fldCharType="separate"/>
                          </w:r>
                          <w:r w:rsidR="0015664F">
                            <w:rPr>
                              <w:noProof/>
                              <w:color w:val="0C0C0C"/>
                              <w:w w:val="10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88.25pt;margin-top:744.45pt;width:12.3pt;height:14.6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0wrQIAAKg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" filled="f" stroked="f">
              <v:textbox inset="0,0,0,0">
                <w:txbxContent>
                  <w:p w:rsidR="00E56E37" w:rsidRDefault="009851CD">
                    <w:pPr>
                      <w:pStyle w:val="BodyText"/>
                      <w:spacing w:before="17"/>
                      <w:ind w:left="60"/>
                    </w:pPr>
                    <w:r>
                      <w:fldChar w:fldCharType="begin"/>
                    </w:r>
                    <w:r>
                      <w:rPr>
                        <w:color w:val="0C0C0C"/>
                        <w:w w:val="102"/>
                      </w:rPr>
                      <w:instrText xml:space="preserve"> PAGE </w:instrText>
                    </w:r>
                    <w:r>
                      <w:fldChar w:fldCharType="separate"/>
                    </w:r>
                    <w:r w:rsidR="0015664F">
                      <w:rPr>
                        <w:noProof/>
                        <w:color w:val="0C0C0C"/>
                        <w:w w:val="10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37" w:rsidRDefault="009851CD">
    <w:pPr>
      <w:pStyle w:val="BodyText"/>
      <w:spacing w:line="14" w:lineRule="auto"/>
      <w:rPr>
        <w:sz w:val="20"/>
      </w:rPr>
    </w:pPr>
    <w:r>
      <w:rPr>
        <w:noProof/>
        <w:lang w:val="en-GB" w:eastAsia="en-GB"/>
      </w:rPr>
      <mc:AlternateContent>
        <mc:Choice Requires="wps">
          <w:drawing>
            <wp:anchor distT="0" distB="0" distL="114300" distR="114300" simplePos="0" relativeHeight="487272448" behindDoc="1" locked="0" layoutInCell="1" allowOverlap="1">
              <wp:simplePos x="0" y="0"/>
              <wp:positionH relativeFrom="page">
                <wp:posOffset>3686175</wp:posOffset>
              </wp:positionH>
              <wp:positionV relativeFrom="page">
                <wp:posOffset>9454515</wp:posOffset>
              </wp:positionV>
              <wp:extent cx="184785" cy="185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37" w:rsidRDefault="009851CD">
                          <w:pPr>
                            <w:pStyle w:val="BodyText"/>
                            <w:spacing w:before="17"/>
                            <w:ind w:left="20"/>
                          </w:pPr>
                          <w:r>
                            <w:rPr>
                              <w:color w:val="0C0C0C"/>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0.25pt;margin-top:744.45pt;width:14.55pt;height:14.6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T5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" filled="f" stroked="f">
              <v:textbox inset="0,0,0,0">
                <w:txbxContent>
                  <w:p w:rsidR="00E56E37" w:rsidRDefault="009851CD">
                    <w:pPr>
                      <w:pStyle w:val="BodyText"/>
                      <w:spacing w:before="17"/>
                      <w:ind w:left="20"/>
                    </w:pPr>
                    <w:r>
                      <w:rPr>
                        <w:color w:val="0C0C0C"/>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E37" w:rsidRDefault="009851CD">
    <w:pPr>
      <w:pStyle w:val="BodyText"/>
      <w:spacing w:line="14" w:lineRule="auto"/>
      <w:rPr>
        <w:sz w:val="20"/>
      </w:rPr>
    </w:pPr>
    <w:r>
      <w:rPr>
        <w:noProof/>
        <w:lang w:val="en-GB" w:eastAsia="en-GB"/>
      </w:rPr>
      <mc:AlternateContent>
        <mc:Choice Requires="wps">
          <w:drawing>
            <wp:anchor distT="0" distB="0" distL="114300" distR="114300" simplePos="0" relativeHeight="487272960" behindDoc="1" locked="0" layoutInCell="1" allowOverlap="1">
              <wp:simplePos x="0" y="0"/>
              <wp:positionH relativeFrom="page">
                <wp:posOffset>3686175</wp:posOffset>
              </wp:positionH>
              <wp:positionV relativeFrom="page">
                <wp:posOffset>9454515</wp:posOffset>
              </wp:positionV>
              <wp:extent cx="210185" cy="185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E37" w:rsidRDefault="009851CD">
                          <w:pPr>
                            <w:pStyle w:val="BodyText"/>
                            <w:spacing w:before="17"/>
                            <w:ind w:left="20"/>
                          </w:pPr>
                          <w:r>
                            <w:rPr>
                              <w:color w:val="0C0C0C"/>
                            </w:rPr>
                            <w:t>1</w:t>
                          </w:r>
                          <w:r>
                            <w:fldChar w:fldCharType="begin"/>
                          </w:r>
                          <w:r>
                            <w:rPr>
                              <w:color w:val="0C0C0C"/>
                            </w:rPr>
                            <w:instrText xml:space="preserve"> PAGE </w:instrText>
                          </w:r>
                          <w:r>
                            <w:fldChar w:fldCharType="separate"/>
                          </w:r>
                          <w:r w:rsidR="0015664F">
                            <w:rPr>
                              <w:noProof/>
                              <w:color w:val="0C0C0C"/>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0.25pt;margin-top:744.45pt;width:16.55pt;height:14.6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iVrwIAAK8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" filled="f" stroked="f">
              <v:textbox inset="0,0,0,0">
                <w:txbxContent>
                  <w:p w:rsidR="00E56E37" w:rsidRDefault="009851CD">
                    <w:pPr>
                      <w:pStyle w:val="BodyText"/>
                      <w:spacing w:before="17"/>
                      <w:ind w:left="20"/>
                    </w:pPr>
                    <w:r>
                      <w:rPr>
                        <w:color w:val="0C0C0C"/>
                      </w:rPr>
                      <w:t>1</w:t>
                    </w:r>
                    <w:r>
                      <w:fldChar w:fldCharType="begin"/>
                    </w:r>
                    <w:r>
                      <w:rPr>
                        <w:color w:val="0C0C0C"/>
                      </w:rPr>
                      <w:instrText xml:space="preserve"> PAGE </w:instrText>
                    </w:r>
                    <w:r>
                      <w:fldChar w:fldCharType="separate"/>
                    </w:r>
                    <w:r w:rsidR="0015664F">
                      <w:rPr>
                        <w:noProof/>
                        <w:color w:val="0C0C0C"/>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99" w:rsidRDefault="009851CD">
      <w:r>
        <w:separator/>
      </w:r>
    </w:p>
  </w:footnote>
  <w:footnote w:type="continuationSeparator" w:id="0">
    <w:p w:rsidR="00652699" w:rsidRDefault="00985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E0D7F"/>
    <w:multiLevelType w:val="hybridMultilevel"/>
    <w:tmpl w:val="F184FF80"/>
    <w:lvl w:ilvl="0" w:tplc="6C5EE8F8">
      <w:numFmt w:val="bullet"/>
      <w:lvlText w:val=""/>
      <w:lvlJc w:val="left"/>
      <w:pPr>
        <w:ind w:left="888" w:hanging="339"/>
      </w:pPr>
      <w:rPr>
        <w:rFonts w:ascii="Symbol" w:eastAsia="Symbol" w:hAnsi="Symbol" w:cs="Symbol" w:hint="default"/>
        <w:w w:val="101"/>
        <w:sz w:val="25"/>
        <w:szCs w:val="25"/>
        <w:lang w:val="en-US" w:eastAsia="en-US" w:bidi="ar-SA"/>
      </w:rPr>
    </w:lvl>
    <w:lvl w:ilvl="1" w:tplc="1F16F45E">
      <w:numFmt w:val="bullet"/>
      <w:lvlText w:val="•"/>
      <w:lvlJc w:val="left"/>
      <w:pPr>
        <w:ind w:left="1706" w:hanging="339"/>
      </w:pPr>
      <w:rPr>
        <w:rFonts w:hint="default"/>
        <w:lang w:val="en-US" w:eastAsia="en-US" w:bidi="ar-SA"/>
      </w:rPr>
    </w:lvl>
    <w:lvl w:ilvl="2" w:tplc="61A6A50A">
      <w:numFmt w:val="bullet"/>
      <w:lvlText w:val="•"/>
      <w:lvlJc w:val="left"/>
      <w:pPr>
        <w:ind w:left="2532" w:hanging="339"/>
      </w:pPr>
      <w:rPr>
        <w:rFonts w:hint="default"/>
        <w:lang w:val="en-US" w:eastAsia="en-US" w:bidi="ar-SA"/>
      </w:rPr>
    </w:lvl>
    <w:lvl w:ilvl="3" w:tplc="1FF2E062">
      <w:numFmt w:val="bullet"/>
      <w:lvlText w:val="•"/>
      <w:lvlJc w:val="left"/>
      <w:pPr>
        <w:ind w:left="3358" w:hanging="339"/>
      </w:pPr>
      <w:rPr>
        <w:rFonts w:hint="default"/>
        <w:lang w:val="en-US" w:eastAsia="en-US" w:bidi="ar-SA"/>
      </w:rPr>
    </w:lvl>
    <w:lvl w:ilvl="4" w:tplc="9BFEFC3C">
      <w:numFmt w:val="bullet"/>
      <w:lvlText w:val="•"/>
      <w:lvlJc w:val="left"/>
      <w:pPr>
        <w:ind w:left="4184" w:hanging="339"/>
      </w:pPr>
      <w:rPr>
        <w:rFonts w:hint="default"/>
        <w:lang w:val="en-US" w:eastAsia="en-US" w:bidi="ar-SA"/>
      </w:rPr>
    </w:lvl>
    <w:lvl w:ilvl="5" w:tplc="373E9FF8">
      <w:numFmt w:val="bullet"/>
      <w:lvlText w:val="•"/>
      <w:lvlJc w:val="left"/>
      <w:pPr>
        <w:ind w:left="5010" w:hanging="339"/>
      </w:pPr>
      <w:rPr>
        <w:rFonts w:hint="default"/>
        <w:lang w:val="en-US" w:eastAsia="en-US" w:bidi="ar-SA"/>
      </w:rPr>
    </w:lvl>
    <w:lvl w:ilvl="6" w:tplc="78D62184">
      <w:numFmt w:val="bullet"/>
      <w:lvlText w:val="•"/>
      <w:lvlJc w:val="left"/>
      <w:pPr>
        <w:ind w:left="5836" w:hanging="339"/>
      </w:pPr>
      <w:rPr>
        <w:rFonts w:hint="default"/>
        <w:lang w:val="en-US" w:eastAsia="en-US" w:bidi="ar-SA"/>
      </w:rPr>
    </w:lvl>
    <w:lvl w:ilvl="7" w:tplc="4016EF9A">
      <w:numFmt w:val="bullet"/>
      <w:lvlText w:val="•"/>
      <w:lvlJc w:val="left"/>
      <w:pPr>
        <w:ind w:left="6662" w:hanging="339"/>
      </w:pPr>
      <w:rPr>
        <w:rFonts w:hint="default"/>
        <w:lang w:val="en-US" w:eastAsia="en-US" w:bidi="ar-SA"/>
      </w:rPr>
    </w:lvl>
    <w:lvl w:ilvl="8" w:tplc="9572B7D2">
      <w:numFmt w:val="bullet"/>
      <w:lvlText w:val="•"/>
      <w:lvlJc w:val="left"/>
      <w:pPr>
        <w:ind w:left="7488" w:hanging="33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37"/>
    <w:rsid w:val="0015664F"/>
    <w:rsid w:val="003307D3"/>
    <w:rsid w:val="0056137B"/>
    <w:rsid w:val="00652699"/>
    <w:rsid w:val="0097770A"/>
    <w:rsid w:val="009851CD"/>
    <w:rsid w:val="00E559B3"/>
    <w:rsid w:val="00E56E37"/>
    <w:rsid w:val="00E622EC"/>
    <w:rsid w:val="00E725F2"/>
    <w:rsid w:val="00F6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382"/>
  <w15:docId w15:val="{D630D649-503E-44D1-83E9-F61EC3A5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mo" w:eastAsia="Arimo" w:hAnsi="Arimo" w:cs="Arimo"/>
    </w:rPr>
  </w:style>
  <w:style w:type="paragraph" w:styleId="Heading1">
    <w:name w:val="heading 1"/>
    <w:basedOn w:val="Normal"/>
    <w:uiPriority w:val="1"/>
    <w:qFormat/>
    <w:pPr>
      <w:spacing w:before="73"/>
      <w:ind w:left="103"/>
      <w:outlineLvl w:val="0"/>
    </w:pPr>
    <w:rPr>
      <w:rFonts w:ascii="Arial" w:eastAsia="Arial" w:hAnsi="Arial" w:cs="Arial"/>
      <w:b/>
      <w:bCs/>
      <w:sz w:val="33"/>
      <w:szCs w:val="33"/>
    </w:rPr>
  </w:style>
  <w:style w:type="paragraph" w:styleId="Heading2">
    <w:name w:val="heading 2"/>
    <w:basedOn w:val="Normal"/>
    <w:uiPriority w:val="1"/>
    <w:qFormat/>
    <w:pPr>
      <w:ind w:left="103"/>
      <w:outlineLvl w:val="1"/>
    </w:pPr>
    <w:rPr>
      <w:rFonts w:ascii="Arial" w:eastAsia="Arial" w:hAnsi="Arial" w:cs="Arial"/>
      <w:b/>
      <w:bCs/>
      <w:sz w:val="30"/>
      <w:szCs w:val="30"/>
    </w:rPr>
  </w:style>
  <w:style w:type="paragraph" w:styleId="Heading3">
    <w:name w:val="heading 3"/>
    <w:basedOn w:val="Normal"/>
    <w:uiPriority w:val="1"/>
    <w:qFormat/>
    <w:pPr>
      <w:spacing w:before="95"/>
      <w:ind w:left="103"/>
      <w:outlineLvl w:val="2"/>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889" w:hanging="340"/>
    </w:pPr>
  </w:style>
  <w:style w:type="paragraph" w:customStyle="1" w:styleId="TableParagraph">
    <w:name w:val="Table Paragraph"/>
    <w:basedOn w:val="Normal"/>
    <w:uiPriority w:val="1"/>
    <w:qFormat/>
    <w:pPr>
      <w:spacing w:before="62"/>
      <w:ind w:left="1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Pupil Premium Statement - Colfox 2022-3</vt:lpstr>
    </vt:vector>
  </TitlesOfParts>
  <Company>RM</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Pupil Premium Statement - Colfox 2022-3</dc:title>
  <dc:creator>BroadbentT</dc:creator>
  <cp:lastModifiedBy>Louisa Hocking</cp:lastModifiedBy>
  <cp:revision>2</cp:revision>
  <dcterms:created xsi:type="dcterms:W3CDTF">2024-09-26T06:47:00Z</dcterms:created>
  <dcterms:modified xsi:type="dcterms:W3CDTF">2024-09-26T06:47:00Z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LastSaved">
    <vt:filetime>2023-12-13T00:00:00Z</vt:filetime>
  </property>
</Properties>
</file>